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color w:val="FF0000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28" y="0"/>
                <wp:lineTo x="-28" y="21120"/>
                <wp:lineTo x="21307" y="21120"/>
                <wp:lineTo x="21307" y="0"/>
                <wp:lineTo x="-28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74"/>
        <w:gridCol w:w="3318"/>
        <w:gridCol w:w="3151"/>
      </w:tblGrid>
      <w:tr>
        <w:trPr>
          <w:trHeight w:val="90" w:hRule="atLeast"/>
        </w:trPr>
        <w:tc>
          <w:tcPr>
            <w:tcW w:w="3374" w:type="dxa"/>
            <w:tcBorders/>
            <w:shd w:fill="auto" w:val="clear"/>
          </w:tcPr>
          <w:p>
            <w:pPr>
              <w:pStyle w:val="Normal"/>
              <w:spacing w:lineRule="auto" w:line="360"/>
              <w:ind w:right="317" w:firstLine="709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color w:val="FF000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Cs w:val="20"/>
              </w:rPr>
            </w:r>
          </w:p>
          <w:p>
            <w:pPr>
              <w:pStyle w:val="Normal"/>
              <w:tabs>
                <w:tab w:val="left" w:pos="2525" w:leader="none"/>
              </w:tabs>
              <w:spacing w:lineRule="auto" w:line="360"/>
              <w:ind w:right="317" w:firstLine="709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360"/>
              <w:ind w:firstLine="709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  <w:insideH w:val="thinThickSmallGap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16"/>
                <w:szCs w:val="20"/>
              </w:rPr>
            </w:pPr>
            <w:r>
              <w:rPr>
                <w:rFonts w:eastAsia="Times New Roman" w:cs="Times New Roman"/>
                <w:b/>
                <w:sz w:val="16"/>
                <w:szCs w:val="20"/>
              </w:rPr>
            </w:r>
          </w:p>
          <w:p>
            <w:pPr>
              <w:pStyle w:val="Normal"/>
              <w:ind w:firstLine="709"/>
              <w:jc w:val="center"/>
              <w:rPr>
                <w:rFonts w:eastAsia="Times New Roman"/>
                <w:b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>
      <w:pPr>
        <w:pStyle w:val="Style27"/>
        <w:jc w:val="center"/>
        <w:rPr/>
      </w:pPr>
      <w:r>
        <w:rPr/>
        <w:t xml:space="preserve">457200 Челябинская область, Варненский район, с.Варна, ул.Советская,135/1 кабинет№13, тел. 3-05-03,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lang w:val="en-US"/>
        </w:rPr>
        <w:t>revotdelvarna</w:t>
      </w:r>
      <w:r>
        <w:rPr/>
        <w:t>@.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p>
      <w:pPr>
        <w:pStyle w:val="Style27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jc w:val="right"/>
        <w:rPr/>
      </w:pPr>
      <w:r>
        <w:rPr>
          <w:b w:val="false"/>
          <w:bCs w:val="false"/>
          <w:i w:val="false"/>
          <w:iCs w:val="false"/>
          <w:sz w:val="28"/>
          <w:szCs w:val="28"/>
          <w:lang w:eastAsia="ru-RU"/>
        </w:rPr>
        <w:t>Утверждаю___________________</w:t>
      </w:r>
    </w:p>
    <w:p>
      <w:pPr>
        <w:pStyle w:val="Normal"/>
        <w:numPr>
          <w:ilvl w:val="0"/>
          <w:numId w:val="0"/>
        </w:numPr>
        <w:tabs>
          <w:tab w:val="left" w:pos="5977" w:leader="none"/>
        </w:tabs>
        <w:spacing w:lineRule="auto" w:line="240" w:before="0" w:after="0"/>
        <w:jc w:val="right"/>
        <w:rPr>
          <w:sz w:val="28"/>
          <w:szCs w:val="20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председатель КСП Колычева С.Г.</w:t>
      </w:r>
    </w:p>
    <w:p>
      <w:pPr>
        <w:pStyle w:val="Style59"/>
        <w:widowControl/>
        <w:ind w:left="1061" w:hanging="0"/>
        <w:rPr/>
      </w:pPr>
      <w:r>
        <w:rPr>
          <w:b/>
          <w:sz w:val="28"/>
          <w:szCs w:val="28"/>
        </w:rPr>
        <w:t xml:space="preserve">                                </w:t>
      </w:r>
    </w:p>
    <w:p>
      <w:pPr>
        <w:pStyle w:val="Style59"/>
        <w:widowControl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ЗАКЛЮЧЕН</w:t>
      </w:r>
      <w:r>
        <w:rPr>
          <w:b/>
          <w:color w:val="auto"/>
          <w:sz w:val="28"/>
          <w:szCs w:val="28"/>
        </w:rPr>
        <w:t>ИЕ №4</w:t>
      </w:r>
      <w:r>
        <w:rPr>
          <w:b/>
          <w:color w:val="auto"/>
          <w:sz w:val="28"/>
          <w:szCs w:val="28"/>
        </w:rPr>
        <w:t>8</w:t>
      </w:r>
    </w:p>
    <w:p>
      <w:pPr>
        <w:pStyle w:val="Style59"/>
        <w:jc w:val="center"/>
        <w:rPr>
          <w:color w:val="auto"/>
        </w:rPr>
      </w:pPr>
      <w:r>
        <w:rPr>
          <w:b/>
          <w:color w:val="auto"/>
          <w:sz w:val="28"/>
          <w:szCs w:val="28"/>
        </w:rPr>
        <w:t>О результатах экспертно-аналитического мероприятия «Финансово-экономическая экспертиза проекта муниципальной программы  «Развитие дорожного хозяйства Варненского муниципального района» на 2023-2027 годы»</w:t>
      </w:r>
    </w:p>
    <w:p>
      <w:pPr>
        <w:pStyle w:val="7"/>
        <w:widowControl/>
        <w:numPr>
          <w:ilvl w:val="0"/>
          <w:numId w:val="0"/>
        </w:numPr>
        <w:jc w:val="left"/>
        <w:rPr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olor w:val="auto"/>
          <w:sz w:val="28"/>
          <w:szCs w:val="28"/>
        </w:rPr>
        <w:t>16</w:t>
      </w:r>
      <w:r>
        <w:rPr>
          <w:rFonts w:cs="Times New Roman" w:ascii="Times New Roman" w:hAnsi="Times New Roman"/>
          <w:b w:val="false"/>
          <w:bCs w:val="false"/>
          <w:i w:val="false"/>
          <w:color w:val="auto"/>
          <w:sz w:val="28"/>
          <w:szCs w:val="28"/>
        </w:rPr>
        <w:t xml:space="preserve"> декабря 2022г.                                                                                         с.Варна</w:t>
      </w:r>
    </w:p>
    <w:p>
      <w:pPr>
        <w:pStyle w:val="7"/>
        <w:widowControl/>
        <w:numPr>
          <w:ilvl w:val="0"/>
          <w:numId w:val="0"/>
        </w:numPr>
        <w:jc w:val="left"/>
        <w:rPr>
          <w:rFonts w:ascii="Times New Roman" w:hAnsi="Times New Roman" w:cs="Times New Roman"/>
          <w:i w:val="false"/>
          <w:i w:val="false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color w:val="auto"/>
        </w:rPr>
        <w:t>Заключение составлено аудитором Контрольно-счётной палаты Варненского муниципального района Пальчиковой Л.В. в рамках предварительного контроля по Распоряжению председателя Контрольно-счётной палаты Варненского муниципального района от 09.12.2022г. №73, на основании пункта 1.11. Плана работы Контрольно-счётной палаты Варненского муниципального района на 2022 год в соответствии с пунктом  1.4.2 «Порядка принятия решений о разработке муниципальных программ Варненского муниципального района, их формировании и реализации», утвержденного постановлением администрации Варненского муниципального района от 01.02.2018г. №75 (далее по тексту Порядок №75),  части 2 статьи 157 Бюджетного Кодекса РФ и пункту 7 части 2 статьи 9 Федерального  закона от 7 февраля 2011г.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Normal"/>
        <w:ind w:left="0" w:right="0" w:firstLine="709"/>
        <w:rPr>
          <w:color w:val="auto"/>
        </w:rPr>
      </w:pPr>
      <w:r>
        <w:rPr>
          <w:rFonts w:cs="Times New Roman"/>
          <w:b/>
          <w:color w:val="auto"/>
        </w:rPr>
        <w:t xml:space="preserve">Предмет экспертно-аналитического мероприятия: </w:t>
      </w:r>
      <w:r>
        <w:rPr>
          <w:rFonts w:cs="Times New Roman"/>
          <w:color w:val="auto"/>
        </w:rPr>
        <w:t>проект муниципальной программ</w:t>
      </w:r>
      <w:r>
        <w:rPr>
          <w:rFonts w:cs="Times New Roman"/>
          <w:b w:val="false"/>
          <w:bCs w:val="false"/>
          <w:color w:val="auto"/>
        </w:rPr>
        <w:t xml:space="preserve">ы </w:t>
      </w:r>
      <w:r>
        <w:rPr>
          <w:b w:val="false"/>
          <w:bCs w:val="false"/>
          <w:color w:val="auto"/>
        </w:rPr>
        <w:t>«</w:t>
      </w:r>
      <w:r>
        <w:rPr>
          <w:b w:val="false"/>
          <w:bCs w:val="false"/>
          <w:color w:val="auto"/>
          <w:sz w:val="28"/>
          <w:szCs w:val="28"/>
        </w:rPr>
        <w:t>Развитие дорожного хозяйства Варненского муниципального района» на 2023-2027 годы.</w:t>
      </w:r>
    </w:p>
    <w:p>
      <w:pPr>
        <w:pStyle w:val="Normal"/>
        <w:ind w:left="0" w:right="0" w:firstLine="709"/>
        <w:rPr>
          <w:color w:val="auto"/>
        </w:rPr>
      </w:pPr>
      <w:r>
        <w:rPr>
          <w:b/>
          <w:bCs/>
          <w:color w:val="auto"/>
          <w:szCs w:val="28"/>
        </w:rPr>
        <w:t xml:space="preserve">Цель </w:t>
      </w:r>
      <w:r>
        <w:rPr>
          <w:b/>
          <w:color w:val="auto"/>
        </w:rPr>
        <w:t xml:space="preserve">экспертно-аналитического </w:t>
      </w:r>
      <w:r>
        <w:rPr>
          <w:b/>
          <w:bCs/>
          <w:color w:val="auto"/>
          <w:szCs w:val="28"/>
        </w:rPr>
        <w:t xml:space="preserve">мероприятия: </w:t>
      </w:r>
      <w:r>
        <w:rPr>
          <w:bCs/>
          <w:color w:val="auto"/>
          <w:szCs w:val="28"/>
        </w:rPr>
        <w:t>подтверждение обоснованности планируемых финансовых ресурсов, направляемых на реализацию мероприятий муниципальной программы «</w:t>
      </w:r>
      <w:r>
        <w:rPr>
          <w:b w:val="false"/>
          <w:bCs w:val="false"/>
          <w:color w:val="auto"/>
          <w:sz w:val="28"/>
          <w:szCs w:val="28"/>
        </w:rPr>
        <w:t>Развитие дорожного хозяйства Варненского муниципального района» на 2023-2027 годы</w:t>
      </w:r>
      <w:r>
        <w:rPr>
          <w:bCs/>
          <w:color w:val="auto"/>
          <w:szCs w:val="28"/>
        </w:rPr>
        <w:t>» (далее  по тексту муниципальная Программа) и включения в расходную часть бюджета Варненского муниципального района на 2023 год и плановый период 2024-2025 годов, исходя из целей, задач и ожидаемых результатов муниципальной программы.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bCs/>
          <w:color w:val="auto"/>
          <w:szCs w:val="28"/>
        </w:rPr>
        <w:t xml:space="preserve">Экспертиза проведена </w:t>
      </w:r>
      <w:r>
        <w:rPr>
          <w:rFonts w:cs="Times New Roman"/>
          <w:b w:val="false"/>
          <w:bCs/>
          <w:color w:val="auto"/>
          <w:sz w:val="28"/>
          <w:szCs w:val="28"/>
          <w:highlight w:val="white"/>
        </w:rPr>
        <w:t>по Стандарту внешнего муниципального финансового контроля «Финансово-экономическая экспертиза проектов муниципальных программ Контрольно-счётной палаты Варненского муниципального района Челябинской области», утвержденного Распоряжением КСП от 02.12.2013г. №11,</w:t>
      </w:r>
      <w:r>
        <w:rPr>
          <w:bCs/>
          <w:color w:val="auto"/>
          <w:szCs w:val="28"/>
        </w:rPr>
        <w:t xml:space="preserve"> на основе документов, представленных в Контрольно-счётную палату Варненского муниципального района 08.12.2022 года: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проект муниципальной Программы «</w:t>
      </w:r>
      <w:r>
        <w:rPr>
          <w:b w:val="false"/>
          <w:bCs w:val="false"/>
          <w:color w:val="auto"/>
          <w:sz w:val="28"/>
          <w:szCs w:val="28"/>
        </w:rPr>
        <w:t>Развитие дорожного хозяйства Варненского муниципального района» на 2023-2027 годы</w:t>
      </w:r>
      <w:r>
        <w:rPr>
          <w:bCs/>
          <w:color w:val="auto"/>
          <w:szCs w:val="28"/>
        </w:rPr>
        <w:t xml:space="preserve">», </w:t>
      </w:r>
      <w:r>
        <w:rPr>
          <w:rFonts w:eastAsia="Calibri" w:cs="Times New Roman"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в том числе:</w:t>
      </w:r>
    </w:p>
    <w:p>
      <w:pPr>
        <w:pStyle w:val="Normal"/>
        <w:ind w:left="0" w:right="0" w:firstLine="709"/>
        <w:rPr>
          <w:bCs/>
          <w:szCs w:val="28"/>
        </w:rPr>
      </w:pPr>
      <w:r>
        <w:rPr>
          <w:bCs/>
          <w:color w:val="auto"/>
          <w:szCs w:val="28"/>
        </w:rPr>
        <w:t>- паспорт муниципальной Программы;</w:t>
      </w:r>
    </w:p>
    <w:p>
      <w:pPr>
        <w:pStyle w:val="Normal"/>
        <w:ind w:left="0" w:right="0" w:firstLine="709"/>
        <w:rPr>
          <w:bCs/>
          <w:szCs w:val="28"/>
        </w:rPr>
      </w:pPr>
      <w:r>
        <w:rPr>
          <w:bCs/>
          <w:color w:val="auto"/>
          <w:szCs w:val="28"/>
        </w:rPr>
        <w:t>- пояснительная записка.</w:t>
      </w:r>
    </w:p>
    <w:p>
      <w:pPr>
        <w:pStyle w:val="Normal"/>
        <w:ind w:left="0" w:right="0" w:firstLine="709"/>
        <w:rPr/>
      </w:pPr>
      <w:r>
        <w:rPr>
          <w:bCs/>
          <w:color w:val="auto"/>
          <w:szCs w:val="28"/>
        </w:rPr>
        <w:t xml:space="preserve">Проект муниципальной программы разработан в соответствии со статьей 179 Бюджетного кодекса РФ и Перечнем муниципальных программ Варненского муниципального района, утвержденным распоряжением администрации Варненского муниципального района </w:t>
      </w:r>
      <w:r>
        <w:rPr>
          <w:rFonts w:eastAsia="MS Mincho" w:cs="Times New Roman"/>
          <w:b w:val="false"/>
          <w:bCs/>
          <w:color w:val="auto"/>
          <w:szCs w:val="28"/>
        </w:rPr>
        <w:t>от 05.10.2022 года №643-р</w:t>
      </w:r>
      <w:r>
        <w:rPr>
          <w:bCs/>
          <w:color w:val="auto"/>
          <w:szCs w:val="28"/>
        </w:rPr>
        <w:t xml:space="preserve"> (Перечень утвержден согласно пункту 1.3 Порядка №75).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В соответствии с пунктом 2.2 Порядка №75 проект муниципальной программы состоит из 9 разделов, разделы Программы в целом  соответствуют типовому макету, предусмотренному Приложениями к Порядку №75.</w:t>
      </w:r>
    </w:p>
    <w:p>
      <w:pPr>
        <w:pStyle w:val="Normal"/>
        <w:ind w:left="0" w:right="0" w:firstLine="709"/>
        <w:rPr/>
      </w:pPr>
      <w:r>
        <w:rPr>
          <w:bCs/>
          <w:color w:val="auto"/>
          <w:szCs w:val="28"/>
        </w:rPr>
        <w:t xml:space="preserve">Ответственный исполнитель муниципальной Программы – Администрация Варненского муниципального района. </w:t>
      </w:r>
    </w:p>
    <w:p>
      <w:pPr>
        <w:pStyle w:val="Normal"/>
        <w:ind w:left="0" w:right="0" w:firstLine="709"/>
        <w:rPr/>
      </w:pPr>
      <w:r>
        <w:rPr>
          <w:bCs/>
          <w:color w:val="auto"/>
          <w:szCs w:val="28"/>
        </w:rPr>
        <w:t>Соисполнители муниципальной программы – Администрации сельских поселений Варненского муниципального района Челябинской области.</w:t>
      </w:r>
    </w:p>
    <w:p>
      <w:pPr>
        <w:pStyle w:val="Normal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Ответственный исполнитель несет ответственность за реализацию    муниципальных программ в целом (соисполнители – за целевое использование выделенных средств).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Проектом муниципальной программы представлено содержание  существующей проблемы и обоснование необходимости их решения программно-целевыми методами.  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Согласно проекту муниципальной Программы основной целью ее реализации является развитие дорожного хозяйства Варненского муниципального района.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Цель Программы соответствует поставленной проблеме, планируемое решение задач программы (улучшение транспортно-эксплуатационных качеств дорожной сети) являются целью программы. 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Решение задач планируется осуществляться посредством реализации следующих мероприятий: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>- ремонт автомобильных дорог Варненского муниципального района (</w:t>
      </w:r>
      <w:r>
        <w:rPr>
          <w:color w:val="auto"/>
          <w:szCs w:val="28"/>
        </w:rPr>
        <w:t xml:space="preserve">6,977 </w:t>
      </w:r>
      <w:r>
        <w:rPr>
          <w:color w:val="auto"/>
          <w:szCs w:val="28"/>
        </w:rPr>
        <w:t>километров);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Приложением 1 Программы представлен перечень мероприятий, необходимый для решения обозначенных в Программе задач, с указанием объемов финансирования по годам по каждому мероприятию и в целом по каждой задаче с указанием ответственного исполнителя. </w:t>
      </w:r>
    </w:p>
    <w:p>
      <w:pPr>
        <w:pStyle w:val="Normal"/>
        <w:ind w:left="0" w:right="0" w:firstLine="709"/>
        <w:rPr>
          <w:color w:val="21409A"/>
        </w:rPr>
      </w:pPr>
      <w:r>
        <w:rPr>
          <w:color w:val="21409A"/>
          <w:szCs w:val="28"/>
        </w:rPr>
        <w:t xml:space="preserve">Проведенный анализ показал, что мероприятия муниципальной Программы </w:t>
      </w:r>
      <w:r>
        <w:rPr>
          <w:bCs/>
          <w:color w:val="21409A"/>
          <w:szCs w:val="28"/>
        </w:rPr>
        <w:t>«</w:t>
      </w:r>
      <w:r>
        <w:rPr>
          <w:b w:val="false"/>
          <w:bCs w:val="false"/>
          <w:color w:val="21409A"/>
          <w:sz w:val="28"/>
          <w:szCs w:val="28"/>
        </w:rPr>
        <w:t>Развитие дорожного хозяйства Варненского муниципального района» на 2023-2027 годы</w:t>
      </w:r>
      <w:r>
        <w:rPr>
          <w:bCs/>
          <w:color w:val="21409A"/>
          <w:szCs w:val="28"/>
        </w:rPr>
        <w:t>»</w:t>
      </w:r>
      <w:r>
        <w:rPr>
          <w:color w:val="21409A"/>
          <w:szCs w:val="28"/>
        </w:rPr>
        <w:t xml:space="preserve"> дублируют мероприятия муниципальной программы </w:t>
      </w:r>
      <w:r>
        <w:rPr>
          <w:bCs/>
          <w:color w:val="21409A"/>
          <w:szCs w:val="28"/>
        </w:rPr>
        <w:t>«Содержание, ремонт и капитальный ремонт автомобильных дорог общего пользования в Варненском муниципальном районе» (капитальный ремонт и ремонт улично-дорожной сети).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/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Срок реализации муниципальной Программы 2023-2027 годы, в соответствии с государственной программой Челябинской области «Развитие дорожного хозяйства и транспортной доступности в Челябинской области». Этап реализации соответствует одному году.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color w:val="auto"/>
          <w:szCs w:val="28"/>
        </w:rPr>
        <w:t xml:space="preserve">Объем финансирования муниципальной Программы предусмотрен в размере </w:t>
      </w:r>
      <w:r>
        <w:rPr>
          <w:color w:val="auto"/>
          <w:szCs w:val="28"/>
        </w:rPr>
        <w:t>82792,737</w:t>
      </w:r>
      <w:r>
        <w:rPr>
          <w:color w:val="auto"/>
          <w:szCs w:val="28"/>
        </w:rPr>
        <w:t xml:space="preserve"> тыс. рублей, за счет средств областного и местного бюджетов, в том числе по годам реализации муниципальной Программы: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color w:val="auto"/>
          <w:szCs w:val="28"/>
        </w:rPr>
        <w:t xml:space="preserve">Областной бюджет </w:t>
      </w:r>
      <w:r>
        <w:rPr>
          <w:color w:val="auto"/>
          <w:szCs w:val="28"/>
        </w:rPr>
        <w:t>78653,10</w:t>
      </w:r>
      <w:r>
        <w:rPr>
          <w:color w:val="auto"/>
          <w:szCs w:val="28"/>
        </w:rPr>
        <w:t xml:space="preserve"> тыс. рублей: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color w:val="auto"/>
          <w:szCs w:val="28"/>
        </w:rPr>
        <w:t>- 202</w:t>
      </w:r>
      <w:r>
        <w:rPr>
          <w:color w:val="auto"/>
          <w:szCs w:val="28"/>
        </w:rPr>
        <w:t>3</w:t>
      </w:r>
      <w:r>
        <w:rPr>
          <w:color w:val="auto"/>
          <w:szCs w:val="28"/>
        </w:rPr>
        <w:t xml:space="preserve"> год в сумме </w:t>
      </w:r>
      <w:r>
        <w:rPr>
          <w:color w:val="auto"/>
          <w:szCs w:val="28"/>
        </w:rPr>
        <w:t>26251,10</w:t>
      </w:r>
      <w:r>
        <w:rPr>
          <w:color w:val="auto"/>
          <w:szCs w:val="28"/>
        </w:rPr>
        <w:t xml:space="preserve"> тыс. рублей;</w:t>
      </w:r>
    </w:p>
    <w:p>
      <w:pPr>
        <w:pStyle w:val="Normal"/>
        <w:ind w:left="0" w:right="0" w:firstLine="709"/>
        <w:rPr/>
      </w:pPr>
      <w:r>
        <w:rPr>
          <w:color w:val="auto"/>
          <w:szCs w:val="28"/>
        </w:rPr>
        <w:t>- 202</w:t>
      </w:r>
      <w:r>
        <w:rPr>
          <w:color w:val="auto"/>
          <w:szCs w:val="28"/>
        </w:rPr>
        <w:t>4</w:t>
      </w:r>
      <w:r>
        <w:rPr>
          <w:color w:val="auto"/>
          <w:szCs w:val="28"/>
        </w:rPr>
        <w:t xml:space="preserve"> год в сумме </w:t>
      </w:r>
      <w:r>
        <w:rPr>
          <w:color w:val="auto"/>
          <w:szCs w:val="28"/>
        </w:rPr>
        <w:t>26251,10</w:t>
      </w:r>
      <w:r>
        <w:rPr>
          <w:color w:val="auto"/>
          <w:szCs w:val="28"/>
        </w:rPr>
        <w:t xml:space="preserve"> тыс. рублей; </w:t>
      </w:r>
    </w:p>
    <w:p>
      <w:pPr>
        <w:pStyle w:val="Normal"/>
        <w:ind w:left="0" w:right="0" w:firstLine="709"/>
        <w:rPr/>
      </w:pPr>
      <w:r>
        <w:rPr>
          <w:color w:val="auto"/>
          <w:szCs w:val="28"/>
        </w:rPr>
        <w:t>- 202</w:t>
      </w:r>
      <w:r>
        <w:rPr>
          <w:color w:val="auto"/>
          <w:szCs w:val="28"/>
        </w:rPr>
        <w:t>5</w:t>
      </w:r>
      <w:r>
        <w:rPr>
          <w:color w:val="auto"/>
          <w:szCs w:val="28"/>
        </w:rPr>
        <w:t xml:space="preserve"> год в сумме </w:t>
      </w:r>
      <w:r>
        <w:rPr>
          <w:color w:val="auto"/>
          <w:szCs w:val="28"/>
        </w:rPr>
        <w:t>26150,90</w:t>
      </w:r>
      <w:r>
        <w:rPr>
          <w:color w:val="auto"/>
          <w:szCs w:val="28"/>
        </w:rPr>
        <w:t xml:space="preserve"> тыс. рублей; </w:t>
      </w:r>
    </w:p>
    <w:p>
      <w:pPr>
        <w:pStyle w:val="Normal"/>
        <w:ind w:left="0" w:right="0" w:firstLine="709"/>
        <w:rPr/>
      </w:pPr>
      <w:r>
        <w:rPr>
          <w:color w:val="auto"/>
          <w:szCs w:val="28"/>
        </w:rPr>
        <w:t>- 202</w:t>
      </w:r>
      <w:r>
        <w:rPr>
          <w:color w:val="auto"/>
          <w:szCs w:val="28"/>
        </w:rPr>
        <w:t>6</w:t>
      </w:r>
      <w:r>
        <w:rPr>
          <w:color w:val="auto"/>
          <w:szCs w:val="28"/>
        </w:rPr>
        <w:t xml:space="preserve"> год в сумме </w:t>
      </w:r>
      <w:r>
        <w:rPr>
          <w:color w:val="auto"/>
          <w:szCs w:val="28"/>
        </w:rPr>
        <w:t>0,00</w:t>
      </w:r>
      <w:r>
        <w:rPr>
          <w:color w:val="auto"/>
          <w:szCs w:val="28"/>
        </w:rPr>
        <w:t xml:space="preserve"> тыс. рублей; </w:t>
      </w:r>
    </w:p>
    <w:p>
      <w:pPr>
        <w:pStyle w:val="Normal"/>
        <w:ind w:left="0" w:right="0" w:firstLine="709"/>
        <w:rPr/>
      </w:pPr>
      <w:r>
        <w:rPr>
          <w:color w:val="auto"/>
          <w:szCs w:val="28"/>
        </w:rPr>
        <w:t>- 202</w:t>
      </w:r>
      <w:r>
        <w:rPr>
          <w:color w:val="auto"/>
          <w:szCs w:val="28"/>
        </w:rPr>
        <w:t>7</w:t>
      </w:r>
      <w:r>
        <w:rPr>
          <w:color w:val="auto"/>
          <w:szCs w:val="28"/>
        </w:rPr>
        <w:t xml:space="preserve"> год в сумме </w:t>
      </w:r>
      <w:r>
        <w:rPr>
          <w:color w:val="auto"/>
          <w:szCs w:val="28"/>
        </w:rPr>
        <w:t>0,00</w:t>
      </w:r>
      <w:r>
        <w:rPr>
          <w:color w:val="auto"/>
          <w:szCs w:val="28"/>
        </w:rPr>
        <w:t xml:space="preserve"> тыс. рублей.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color w:val="auto"/>
          <w:szCs w:val="28"/>
        </w:rPr>
        <w:t xml:space="preserve">Местный бюджет </w:t>
      </w:r>
      <w:r>
        <w:rPr>
          <w:color w:val="auto"/>
          <w:szCs w:val="28"/>
        </w:rPr>
        <w:t>4139,637</w:t>
      </w:r>
      <w:r>
        <w:rPr>
          <w:color w:val="auto"/>
          <w:szCs w:val="28"/>
        </w:rPr>
        <w:t xml:space="preserve"> тыс. рублей: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color w:val="auto"/>
          <w:szCs w:val="28"/>
        </w:rPr>
        <w:t>- 202</w:t>
      </w:r>
      <w:r>
        <w:rPr>
          <w:color w:val="auto"/>
          <w:szCs w:val="28"/>
        </w:rPr>
        <w:t>3</w:t>
      </w:r>
      <w:r>
        <w:rPr>
          <w:color w:val="auto"/>
          <w:szCs w:val="28"/>
        </w:rPr>
        <w:t xml:space="preserve"> год в сумме </w:t>
      </w:r>
      <w:r>
        <w:rPr>
          <w:color w:val="auto"/>
          <w:szCs w:val="28"/>
        </w:rPr>
        <w:t>1381,637</w:t>
      </w:r>
      <w:r>
        <w:rPr>
          <w:color w:val="auto"/>
          <w:szCs w:val="28"/>
        </w:rPr>
        <w:t xml:space="preserve"> тыс. рублей;</w:t>
      </w:r>
    </w:p>
    <w:p>
      <w:pPr>
        <w:pStyle w:val="Normal"/>
        <w:ind w:left="0" w:right="0" w:firstLine="709"/>
        <w:rPr/>
      </w:pPr>
      <w:r>
        <w:rPr>
          <w:color w:val="auto"/>
          <w:szCs w:val="28"/>
        </w:rPr>
        <w:t>- 202</w:t>
      </w:r>
      <w:r>
        <w:rPr>
          <w:color w:val="auto"/>
          <w:szCs w:val="28"/>
        </w:rPr>
        <w:t>4</w:t>
      </w:r>
      <w:r>
        <w:rPr>
          <w:color w:val="auto"/>
          <w:szCs w:val="28"/>
        </w:rPr>
        <w:t xml:space="preserve"> год в сумме </w:t>
      </w:r>
      <w:r>
        <w:rPr>
          <w:color w:val="auto"/>
          <w:szCs w:val="28"/>
        </w:rPr>
        <w:t>1381,637</w:t>
      </w:r>
      <w:r>
        <w:rPr>
          <w:color w:val="auto"/>
          <w:szCs w:val="28"/>
        </w:rPr>
        <w:t xml:space="preserve"> тыс. рублей; </w:t>
      </w:r>
    </w:p>
    <w:p>
      <w:pPr>
        <w:pStyle w:val="Normal"/>
        <w:ind w:left="0" w:right="0" w:firstLine="709"/>
        <w:rPr/>
      </w:pPr>
      <w:r>
        <w:rPr>
          <w:color w:val="auto"/>
          <w:szCs w:val="28"/>
        </w:rPr>
        <w:t>- 202</w:t>
      </w:r>
      <w:r>
        <w:rPr>
          <w:color w:val="auto"/>
          <w:szCs w:val="28"/>
        </w:rPr>
        <w:t>5</w:t>
      </w:r>
      <w:r>
        <w:rPr>
          <w:color w:val="auto"/>
          <w:szCs w:val="28"/>
        </w:rPr>
        <w:t xml:space="preserve"> год в сумме </w:t>
      </w:r>
      <w:r>
        <w:rPr>
          <w:color w:val="auto"/>
          <w:szCs w:val="28"/>
        </w:rPr>
        <w:t>1376,363</w:t>
      </w:r>
      <w:r>
        <w:rPr>
          <w:color w:val="auto"/>
          <w:szCs w:val="28"/>
        </w:rPr>
        <w:t xml:space="preserve"> тыс. рублей; </w:t>
      </w:r>
    </w:p>
    <w:p>
      <w:pPr>
        <w:pStyle w:val="Normal"/>
        <w:ind w:left="0" w:right="0" w:firstLine="709"/>
        <w:rPr/>
      </w:pPr>
      <w:r>
        <w:rPr>
          <w:color w:val="auto"/>
          <w:szCs w:val="28"/>
        </w:rPr>
        <w:t>- 202</w:t>
      </w:r>
      <w:r>
        <w:rPr>
          <w:color w:val="auto"/>
          <w:szCs w:val="28"/>
        </w:rPr>
        <w:t>6</w:t>
      </w:r>
      <w:r>
        <w:rPr>
          <w:color w:val="auto"/>
          <w:szCs w:val="28"/>
        </w:rPr>
        <w:t xml:space="preserve"> год в сумме </w:t>
      </w:r>
      <w:r>
        <w:rPr>
          <w:color w:val="auto"/>
          <w:szCs w:val="28"/>
        </w:rPr>
        <w:t>0,00</w:t>
      </w:r>
      <w:r>
        <w:rPr>
          <w:color w:val="auto"/>
          <w:szCs w:val="28"/>
        </w:rPr>
        <w:t xml:space="preserve"> тыс. рублей; 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color w:val="auto"/>
          <w:szCs w:val="28"/>
        </w:rPr>
        <w:t>- 202</w:t>
      </w:r>
      <w:r>
        <w:rPr>
          <w:color w:val="auto"/>
          <w:szCs w:val="28"/>
        </w:rPr>
        <w:t>7</w:t>
      </w:r>
      <w:r>
        <w:rPr>
          <w:color w:val="auto"/>
          <w:szCs w:val="28"/>
        </w:rPr>
        <w:t xml:space="preserve"> год в сумме </w:t>
      </w:r>
      <w:r>
        <w:rPr>
          <w:color w:val="auto"/>
          <w:szCs w:val="28"/>
        </w:rPr>
        <w:t>0,00</w:t>
      </w:r>
      <w:r>
        <w:rPr>
          <w:color w:val="auto"/>
          <w:szCs w:val="28"/>
        </w:rPr>
        <w:t xml:space="preserve"> тыс. рублей.</w:t>
      </w:r>
    </w:p>
    <w:p>
      <w:pPr>
        <w:pStyle w:val="Normal"/>
        <w:ind w:left="0" w:right="0" w:firstLine="709"/>
        <w:rPr/>
      </w:pPr>
      <w:r>
        <w:rPr>
          <w:color w:val="auto"/>
          <w:szCs w:val="28"/>
        </w:rPr>
        <w:t>Затраты на проведение мероприятий по благоустройству определяются согласно сметного расчета.</w:t>
      </w:r>
    </w:p>
    <w:p>
      <w:pPr>
        <w:pStyle w:val="Normal"/>
        <w:ind w:left="0" w:right="0" w:firstLine="709"/>
        <w:rPr/>
      </w:pPr>
      <w:r>
        <w:rPr>
          <w:color w:val="auto"/>
          <w:szCs w:val="28"/>
        </w:rPr>
        <w:t xml:space="preserve">По ожидаемым результатам реализации программы предлагается утверждение целевых индикативных показателей по годам реализации с указанием фактических значений индикативных показателей 2022 года. </w:t>
      </w: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</w:rPr>
        <w:t>В разделе IX муниципальной Программы перечень основных задач Программы представлен во взаимосвязи с целевыми индикаторами достижения целей Программы, что позволяет оценить ожидаемые конечные результаты реализации Программы.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По итогам реализации программы </w:t>
      </w:r>
      <w:r>
        <w:rPr>
          <w:color w:val="auto"/>
          <w:szCs w:val="28"/>
        </w:rPr>
        <w:t>количество отремонтированных</w:t>
      </w:r>
      <w:r>
        <w:rPr>
          <w:color w:val="auto"/>
          <w:szCs w:val="28"/>
        </w:rPr>
        <w:t xml:space="preserve"> автомобильных дорог общего пользования, соответствующих нормативным требованиям к транспортно-эксплуатационным показателям составит </w:t>
      </w:r>
      <w:r>
        <w:rPr>
          <w:color w:val="auto"/>
          <w:szCs w:val="28"/>
        </w:rPr>
        <w:t>6,977 километров</w:t>
      </w:r>
      <w:r>
        <w:rPr>
          <w:color w:val="auto"/>
          <w:szCs w:val="28"/>
        </w:rPr>
        <w:t xml:space="preserve">. Измеряемые показатели позволяют оценить степень достижения целей и поставленных задач.  </w:t>
      </w:r>
    </w:p>
    <w:p>
      <w:pPr>
        <w:pStyle w:val="Normal"/>
        <w:ind w:left="0" w:right="0" w:firstLine="709"/>
        <w:rPr>
          <w:szCs w:val="28"/>
        </w:rPr>
      </w:pPr>
      <w:r>
        <w:rPr>
          <w:color w:val="auto"/>
          <w:szCs w:val="28"/>
        </w:rPr>
        <w:t xml:space="preserve">Программа содержит методику оценки эффективности муниципальной программы, которая включает: </w:t>
      </w:r>
    </w:p>
    <w:p>
      <w:pPr>
        <w:pStyle w:val="Normal"/>
        <w:ind w:left="0" w:right="0" w:firstLine="709"/>
        <w:rPr>
          <w:szCs w:val="28"/>
        </w:rPr>
      </w:pPr>
      <w:r>
        <w:rPr>
          <w:color w:val="auto"/>
          <w:szCs w:val="28"/>
        </w:rPr>
        <w:t>- сведения о взаимосвязи мероприятий и результатов их выполнения с целевыми индикаторами;</w:t>
      </w:r>
    </w:p>
    <w:p>
      <w:pPr>
        <w:pStyle w:val="Normal"/>
        <w:ind w:left="0" w:right="0" w:firstLine="709"/>
        <w:rPr>
          <w:szCs w:val="28"/>
        </w:rPr>
      </w:pPr>
      <w:r>
        <w:rPr>
          <w:color w:val="auto"/>
          <w:szCs w:val="28"/>
        </w:rPr>
        <w:t>- обоснование состава и значений  показателей, методику расчета, источник получения информации;</w:t>
      </w:r>
    </w:p>
    <w:p>
      <w:pPr>
        <w:pStyle w:val="Normal"/>
        <w:ind w:left="0" w:right="0" w:firstLine="709"/>
        <w:rPr>
          <w:szCs w:val="28"/>
        </w:rPr>
      </w:pPr>
      <w:r>
        <w:rPr>
          <w:color w:val="auto"/>
          <w:szCs w:val="28"/>
        </w:rPr>
        <w:t>- указаны возможные риски невыполнения программных мероприятий и не достижения запланированных  результатов.</w:t>
      </w:r>
    </w:p>
    <w:p>
      <w:pPr>
        <w:pStyle w:val="Normal"/>
        <w:ind w:firstLine="720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>
          <w:color w:val="auto"/>
        </w:rPr>
      </w:pPr>
      <w:r>
        <w:rPr>
          <w:b/>
          <w:color w:val="auto"/>
          <w:szCs w:val="28"/>
        </w:rPr>
        <w:t>Выводы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 xml:space="preserve">Экспертиза проекта Программы проведена в полном объеме, структура и содержание Программы соответствуют требованиям Порядка №75, цели и задачи Программы соответствуют поставленной проблеме, не противоречат нормам </w:t>
      </w:r>
      <w:r>
        <w:rPr>
          <w:bCs/>
          <w:color w:val="auto"/>
          <w:szCs w:val="28"/>
        </w:rPr>
        <w:t>Бюджетного кодекса РФ и иным нормативно-правовым актам, регламентирующим сферу реализации муниципальной программы</w:t>
      </w:r>
      <w:r>
        <w:rPr>
          <w:color w:val="auto"/>
          <w:szCs w:val="28"/>
        </w:rPr>
        <w:t>.</w:t>
      </w:r>
    </w:p>
    <w:p>
      <w:pPr>
        <w:pStyle w:val="Normal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Мероприятия муниципальной Программы </w:t>
      </w:r>
      <w:r>
        <w:rPr>
          <w:bCs/>
          <w:color w:val="auto"/>
          <w:szCs w:val="28"/>
        </w:rPr>
        <w:t>«</w:t>
      </w:r>
      <w:r>
        <w:rPr>
          <w:b w:val="false"/>
          <w:bCs w:val="false"/>
          <w:color w:val="auto"/>
          <w:sz w:val="28"/>
          <w:szCs w:val="28"/>
        </w:rPr>
        <w:t>Развитие дорожного хозяйства Варненского муниципального района» на 2023-2027 годы</w:t>
      </w:r>
      <w:r>
        <w:rPr>
          <w:bCs/>
          <w:color w:val="auto"/>
          <w:szCs w:val="28"/>
        </w:rPr>
        <w:t>» (ремонт автомобильных дорог Варненского муниципального района)</w:t>
      </w:r>
      <w:r>
        <w:rPr>
          <w:color w:val="auto"/>
          <w:szCs w:val="28"/>
        </w:rPr>
        <w:t xml:space="preserve"> дублируют мероприятия муниципальной программы </w:t>
      </w:r>
      <w:r>
        <w:rPr>
          <w:bCs/>
          <w:color w:val="auto"/>
          <w:szCs w:val="28"/>
        </w:rPr>
        <w:t>«Содержание, ремонт и капитальный ремонт автомобильных дорог общего пользования в Варненском муниципальном районе» (капитальный ремонт и ремонт улично-дорожной сети).</w:t>
      </w:r>
    </w:p>
    <w:p>
      <w:pPr>
        <w:pStyle w:val="Normal"/>
        <w:widowControl/>
        <w:bidi w:val="0"/>
        <w:ind w:left="0" w:right="0" w:hanging="0"/>
        <w:jc w:val="center"/>
        <w:rPr>
          <w:color w:val="auto"/>
        </w:rPr>
      </w:pPr>
      <w:r>
        <w:rPr>
          <w:b/>
          <w:color w:val="auto"/>
          <w:szCs w:val="28"/>
        </w:rPr>
        <w:t>Предложения</w:t>
      </w:r>
    </w:p>
    <w:p>
      <w:pPr>
        <w:pStyle w:val="Normal"/>
        <w:ind w:firstLine="720"/>
        <w:rPr>
          <w:color w:val="auto"/>
        </w:rPr>
      </w:pPr>
      <w:r>
        <w:rPr>
          <w:color w:val="auto"/>
          <w:szCs w:val="28"/>
        </w:rPr>
        <w:t xml:space="preserve">На основании проведенного экспертно-аналитического мероприятия Контрольно-счётная палата предлагает принять муниципальную программу  </w:t>
      </w:r>
      <w:r>
        <w:rPr>
          <w:bCs/>
          <w:color w:val="auto"/>
          <w:szCs w:val="28"/>
        </w:rPr>
        <w:t>«</w:t>
      </w:r>
      <w:r>
        <w:rPr>
          <w:b w:val="false"/>
          <w:bCs w:val="false"/>
          <w:color w:val="auto"/>
          <w:sz w:val="28"/>
          <w:szCs w:val="28"/>
        </w:rPr>
        <w:t>Развитие дорожного хозяйства Варненского муниципального района» на 2023-2027 годы</w:t>
      </w:r>
      <w:r>
        <w:rPr>
          <w:bCs/>
          <w:color w:val="auto"/>
          <w:szCs w:val="28"/>
        </w:rPr>
        <w:t>»</w:t>
      </w:r>
      <w:r>
        <w:rPr>
          <w:b/>
          <w:color w:val="auto"/>
          <w:szCs w:val="28"/>
        </w:rPr>
        <w:t xml:space="preserve"> </w:t>
      </w:r>
      <w:r>
        <w:rPr>
          <w:b w:val="false"/>
          <w:bCs w:val="false"/>
          <w:color w:val="auto"/>
          <w:szCs w:val="28"/>
        </w:rPr>
        <w:t>с учетом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замечаний, указанных в тексте настоящего Заключения</w:t>
      </w:r>
      <w:r>
        <w:rPr>
          <w:b/>
          <w:color w:val="auto"/>
          <w:szCs w:val="28"/>
        </w:rPr>
        <w:t xml:space="preserve">.  </w:t>
      </w:r>
      <w:r>
        <w:rPr>
          <w:color w:val="auto"/>
          <w:szCs w:val="28"/>
        </w:rPr>
        <w:t xml:space="preserve"> </w:t>
      </w:r>
    </w:p>
    <w:p>
      <w:pPr>
        <w:pStyle w:val="Normal"/>
        <w:ind w:firstLine="720"/>
        <w:rPr/>
      </w:pPr>
      <w:r>
        <w:rPr>
          <w:b w:val="false"/>
          <w:bCs w:val="false"/>
          <w:color w:val="auto"/>
          <w:szCs w:val="28"/>
        </w:rPr>
        <w:t>О результатах рассмотрения замечаний по настоящему заключению и принятых мерах необходимо проинформировать Контрольно-счётную палату Варненског</w:t>
      </w:r>
      <w:r>
        <w:rPr>
          <w:rFonts w:cs="Times New Roman"/>
          <w:b w:val="false"/>
          <w:bCs w:val="false"/>
          <w:color w:val="auto"/>
          <w:sz w:val="28"/>
          <w:szCs w:val="28"/>
        </w:rPr>
        <w:t>о муниципального района в срок до утверждения предлагаемых изменений.</w:t>
      </w:r>
    </w:p>
    <w:p>
      <w:pPr>
        <w:pStyle w:val="Normal"/>
        <w:ind w:firstLine="720"/>
        <w:rPr/>
      </w:pPr>
      <w:r>
        <w:rPr>
          <w:rFonts w:cs="Times New Roman"/>
          <w:b w:val="false"/>
          <w:bCs w:val="false"/>
          <w:color w:val="auto"/>
          <w:sz w:val="28"/>
          <w:szCs w:val="28"/>
        </w:rPr>
        <w:t>Согласно статье 179 Бюджетного Кодекса РФ муниципальную  программу «</w:t>
      </w:r>
      <w:bookmarkStart w:id="0" w:name="__DdeLink__990_4128979763"/>
      <w:r>
        <w:rPr>
          <w:rFonts w:cs="Times New Roman"/>
          <w:b w:val="false"/>
          <w:bCs w:val="false"/>
          <w:color w:val="auto"/>
          <w:sz w:val="28"/>
          <w:szCs w:val="28"/>
        </w:rPr>
        <w:t>Развитие дорожного хозяйства Варненского муниципального района» на 2023-2027 годы</w:t>
      </w:r>
      <w:bookmarkEnd w:id="0"/>
      <w:r>
        <w:rPr>
          <w:rFonts w:cs="Times New Roman"/>
          <w:b w:val="false"/>
          <w:bCs w:val="false"/>
          <w:color w:val="auto"/>
          <w:sz w:val="28"/>
          <w:szCs w:val="28"/>
        </w:rPr>
        <w:t>»</w:t>
      </w:r>
      <w:r>
        <w:rPr>
          <w:rFonts w:cs="Times New Roman"/>
          <w:b/>
          <w:bCs w:val="false"/>
          <w:color w:val="auto"/>
          <w:sz w:val="28"/>
          <w:szCs w:val="28"/>
        </w:rPr>
        <w:t xml:space="preserve"> необходимо будет </w:t>
      </w:r>
      <w:r>
        <w:rPr>
          <w:rFonts w:cs="Times New Roman"/>
          <w:b w:val="false"/>
          <w:bCs w:val="false"/>
          <w:color w:val="auto"/>
          <w:sz w:val="28"/>
          <w:szCs w:val="28"/>
        </w:rPr>
        <w:t xml:space="preserve">привести в соответствие с законом (решением) о бюджете Варненского муниципального района на 2023 год и плановый период 2024-2025 годов </w:t>
      </w:r>
      <w:r>
        <w:rPr>
          <w:rFonts w:cs="Times New Roman"/>
          <w:b/>
          <w:bCs w:val="false"/>
          <w:color w:val="auto"/>
          <w:sz w:val="28"/>
          <w:szCs w:val="28"/>
        </w:rPr>
        <w:t>не позднее трех месяцев со дня вступления его в силу.</w:t>
      </w:r>
    </w:p>
    <w:p>
      <w:pPr>
        <w:pStyle w:val="Normal"/>
        <w:ind w:firstLine="720"/>
        <w:rPr>
          <w:rFonts w:ascii="Times New Roman" w:hAnsi="Times New Roman" w:cs="Times New Roman"/>
          <w:b/>
          <w:b/>
          <w:bCs w:val="false"/>
          <w:color w:val="auto"/>
          <w:sz w:val="28"/>
          <w:szCs w:val="28"/>
        </w:rPr>
      </w:pPr>
      <w:r>
        <w:rPr>
          <w:rFonts w:cs="Times New Roman"/>
          <w:b/>
          <w:bCs w:val="false"/>
          <w:color w:val="auto"/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color w:val="auto"/>
          <w:szCs w:val="28"/>
        </w:rPr>
        <w:t>Заключение составлено на 4 страницах в 2 экземплярах.</w:t>
      </w:r>
    </w:p>
    <w:p>
      <w:pPr>
        <w:pStyle w:val="Normal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Normal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Normal"/>
        <w:rPr>
          <w:color w:val="CE181E"/>
          <w:szCs w:val="28"/>
        </w:rPr>
      </w:pPr>
      <w:r>
        <w:rPr>
          <w:color w:val="auto"/>
          <w:szCs w:val="28"/>
        </w:rPr>
        <w:t>Аудитор КСП                                                                            Л.В.Пальчикова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20d"/>
    <w:pPr>
      <w:widowControl/>
      <w:bidi w:val="0"/>
      <w:jc w:val="both"/>
    </w:pPr>
    <w:rPr>
      <w:rFonts w:ascii="Times New Roman" w:hAnsi="Times New Roman" w:eastAsia="" w:cs="" w:cstheme="minorBidi" w:eastAsiaTheme="minorEastAsia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49506b"/>
    <w:pPr>
      <w:keepNext w:val="true"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Normal"/>
    <w:link w:val="20"/>
    <w:uiPriority w:val="9"/>
    <w:semiHidden/>
    <w:unhideWhenUsed/>
    <w:qFormat/>
    <w:rsid w:val="003f2d6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0753e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7">
    <w:name w:val="Heading 7"/>
    <w:basedOn w:val="Normal"/>
    <w:link w:val="70"/>
    <w:uiPriority w:val="9"/>
    <w:semiHidden/>
    <w:unhideWhenUsed/>
    <w:qFormat/>
    <w:rsid w:val="0058655a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0" w:customStyle="1">
    <w:name w:val="Текст Знак"/>
    <w:basedOn w:val="DefaultParagraphFont"/>
    <w:link w:val="a3"/>
    <w:qFormat/>
    <w:rsid w:val="0049506b"/>
    <w:rPr>
      <w:rFonts w:ascii="Courier New" w:hAnsi="Courier New" w:eastAsia="Times New Roman" w:cs="Courier New"/>
      <w:sz w:val="20"/>
      <w:szCs w:val="20"/>
    </w:rPr>
  </w:style>
  <w:style w:type="character" w:styleId="Style11" w:customStyle="1">
    <w:name w:val="Основной текст Знак"/>
    <w:basedOn w:val="DefaultParagraphFont"/>
    <w:link w:val="a5"/>
    <w:qFormat/>
    <w:rsid w:val="0049506b"/>
    <w:rPr>
      <w:rFonts w:ascii="Times New Roman" w:hAnsi="Times New Roman" w:eastAsia="MS Mincho" w:cs="Times New Roman"/>
      <w:sz w:val="28"/>
      <w:szCs w:val="24"/>
    </w:rPr>
  </w:style>
  <w:style w:type="character" w:styleId="21" w:customStyle="1">
    <w:name w:val="Основной текст 2 Знак"/>
    <w:basedOn w:val="DefaultParagraphFont"/>
    <w:link w:val="21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Текст выноски Знак"/>
    <w:basedOn w:val="DefaultParagraphFont"/>
    <w:link w:val="a7"/>
    <w:qFormat/>
    <w:rsid w:val="0049506b"/>
    <w:rPr>
      <w:rFonts w:ascii="Tahoma" w:hAnsi="Tahoma" w:eastAsia="Times New Roman" w:cs="Tahoma"/>
      <w:sz w:val="16"/>
      <w:szCs w:val="16"/>
    </w:rPr>
  </w:style>
  <w:style w:type="character" w:styleId="Style13" w:customStyle="1">
    <w:name w:val="Подзаголовок Знак"/>
    <w:basedOn w:val="DefaultParagraphFont"/>
    <w:link w:val="a9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4" w:customStyle="1">
    <w:name w:val="Гипертекстовая ссылка"/>
    <w:basedOn w:val="DefaultParagraphFont"/>
    <w:qFormat/>
    <w:rsid w:val="0049506b"/>
    <w:rPr>
      <w:b/>
      <w:bCs/>
      <w:color w:val="008000"/>
      <w:sz w:val="20"/>
      <w:szCs w:val="20"/>
      <w:u w:val="single"/>
    </w:rPr>
  </w:style>
  <w:style w:type="character" w:styleId="Style15" w:customStyle="1">
    <w:name w:val="Верхний колонтитул Знак"/>
    <w:basedOn w:val="DefaultParagraphFont"/>
    <w:link w:val="ae"/>
    <w:uiPriority w:val="99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0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7" w:customStyle="1">
    <w:name w:val="Без интервала Знак"/>
    <w:basedOn w:val="DefaultParagraphFont"/>
    <w:link w:val="af2"/>
    <w:uiPriority w:val="1"/>
    <w:qFormat/>
    <w:rsid w:val="0049506b"/>
    <w:rPr>
      <w:rFonts w:ascii="Calibri" w:hAnsi="Calibri" w:eastAsia="Times New Roman" w:cs="Times New Roman"/>
      <w:lang w:eastAsia="en-US"/>
    </w:rPr>
  </w:style>
  <w:style w:type="character" w:styleId="Style18" w:customStyle="1">
    <w:name w:val="Основной текст с отступом Знак"/>
    <w:basedOn w:val="DefaultParagraphFont"/>
    <w:link w:val="af4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3f2d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9">
    <w:name w:val="Интернет-ссылка"/>
    <w:basedOn w:val="DefaultParagraphFont"/>
    <w:uiPriority w:val="99"/>
    <w:unhideWhenUsed/>
    <w:rsid w:val="00cc5ad3"/>
    <w:rPr>
      <w:color w:val="0000FF" w:themeColor="hyperlink"/>
      <w:u w:val="single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58655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753e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</w:rPr>
  </w:style>
  <w:style w:type="character" w:styleId="Pagenumber">
    <w:name w:val="page number"/>
    <w:basedOn w:val="DefaultParagraphFont"/>
    <w:qFormat/>
    <w:rsid w:val="00ea280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rFonts w:cs="Times New Roman"/>
      <w:sz w:val="28"/>
      <w:szCs w:val="28"/>
    </w:rPr>
  </w:style>
  <w:style w:type="character" w:styleId="ListLabel10">
    <w:name w:val="ListLabel 10"/>
    <w:qFormat/>
    <w:rPr>
      <w:rFonts w:cs="Times New Roman"/>
      <w:sz w:val="28"/>
      <w:szCs w:val="28"/>
    </w:rPr>
  </w:style>
  <w:style w:type="character" w:styleId="ListLabel11">
    <w:name w:val="ListLabel 11"/>
    <w:qFormat/>
    <w:rPr>
      <w:rFonts w:cs="Times New Roman"/>
      <w:sz w:val="28"/>
      <w:szCs w:val="28"/>
    </w:rPr>
  </w:style>
  <w:style w:type="character" w:styleId="ListLabel12">
    <w:name w:val="ListLabel 12"/>
    <w:qFormat/>
    <w:rPr>
      <w:rFonts w:cs="Times New Roman"/>
      <w:sz w:val="28"/>
      <w:szCs w:val="28"/>
    </w:rPr>
  </w:style>
  <w:style w:type="character" w:styleId="ListLabel13">
    <w:name w:val="ListLabel 13"/>
    <w:qFormat/>
    <w:rPr>
      <w:rFonts w:cs="Times New Roman"/>
      <w:sz w:val="28"/>
      <w:szCs w:val="28"/>
    </w:rPr>
  </w:style>
  <w:style w:type="character" w:styleId="ListLabel14">
    <w:name w:val="ListLabel 14"/>
    <w:qFormat/>
    <w:rPr>
      <w:rFonts w:cs="Times New Roman"/>
      <w:sz w:val="28"/>
      <w:szCs w:val="28"/>
    </w:rPr>
  </w:style>
  <w:style w:type="character" w:styleId="ListLabel15">
    <w:name w:val="ListLabel 15"/>
    <w:qFormat/>
    <w:rPr>
      <w:rFonts w:cs="Times New Roman"/>
      <w:sz w:val="28"/>
      <w:szCs w:val="28"/>
    </w:rPr>
  </w:style>
  <w:style w:type="character" w:styleId="ListLabel16">
    <w:name w:val="ListLabel 16"/>
    <w:qFormat/>
    <w:rPr>
      <w:rFonts w:cs="Times New Roman"/>
      <w:sz w:val="28"/>
      <w:szCs w:val="28"/>
    </w:rPr>
  </w:style>
  <w:style w:type="character" w:styleId="ListLabel17">
    <w:name w:val="ListLabel 17"/>
    <w:qFormat/>
    <w:rPr>
      <w:rFonts w:cs="OpenSymbol"/>
      <w:sz w:val="28"/>
    </w:rPr>
  </w:style>
  <w:style w:type="character" w:styleId="ListLabel18">
    <w:name w:val="ListLabel 18"/>
    <w:qFormat/>
    <w:rPr>
      <w:rFonts w:cs="Times New Roman"/>
      <w:sz w:val="28"/>
      <w:szCs w:val="28"/>
    </w:rPr>
  </w:style>
  <w:style w:type="character" w:styleId="ListLabel19">
    <w:name w:val="ListLabel 19"/>
    <w:qFormat/>
    <w:rPr>
      <w:rFonts w:cs="Times New Roman"/>
      <w:sz w:val="28"/>
      <w:szCs w:val="28"/>
    </w:rPr>
  </w:style>
  <w:style w:type="character" w:styleId="ListLabel20">
    <w:name w:val="ListLabel 20"/>
    <w:qFormat/>
    <w:rPr>
      <w:rFonts w:cs="Times New Roman"/>
      <w:sz w:val="28"/>
      <w:szCs w:val="28"/>
    </w:rPr>
  </w:style>
  <w:style w:type="character" w:styleId="ListLabel21">
    <w:name w:val="ListLabel 21"/>
    <w:qFormat/>
    <w:rPr>
      <w:rFonts w:cs="Times New Roman"/>
      <w:sz w:val="28"/>
      <w:szCs w:val="28"/>
    </w:rPr>
  </w:style>
  <w:style w:type="character" w:styleId="ListLabel22">
    <w:name w:val="ListLabel 22"/>
    <w:qFormat/>
    <w:rPr>
      <w:rFonts w:cs="Times New Roman"/>
      <w:sz w:val="28"/>
      <w:szCs w:val="28"/>
    </w:rPr>
  </w:style>
  <w:style w:type="character" w:styleId="ListLabel23">
    <w:name w:val="ListLabel 23"/>
    <w:qFormat/>
    <w:rPr>
      <w:rFonts w:cs="Times New Roman"/>
      <w:sz w:val="28"/>
      <w:szCs w:val="28"/>
    </w:rPr>
  </w:style>
  <w:style w:type="character" w:styleId="ListLabel24">
    <w:name w:val="ListLabel 24"/>
    <w:qFormat/>
    <w:rPr>
      <w:rFonts w:cs="Times New Roman"/>
      <w:sz w:val="28"/>
      <w:szCs w:val="28"/>
    </w:rPr>
  </w:style>
  <w:style w:type="character" w:styleId="ListLabel25">
    <w:name w:val="ListLabel 25"/>
    <w:qFormat/>
    <w:rPr>
      <w:rFonts w:cs="Times New Roman"/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1">
    <w:name w:val="Body Text"/>
    <w:basedOn w:val="Normal"/>
    <w:link w:val="a6"/>
    <w:rsid w:val="0049506b"/>
    <w:pPr/>
    <w:rPr>
      <w:rFonts w:eastAsia="MS Mincho" w:cs="Times New Roman"/>
      <w:szCs w:val="24"/>
    </w:rPr>
  </w:style>
  <w:style w:type="paragraph" w:styleId="Style22">
    <w:name w:val="List"/>
    <w:basedOn w:val="Style21"/>
    <w:pPr/>
    <w:rPr>
      <w:rFonts w:cs="DejaVu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ejaVu Sans"/>
    </w:rPr>
  </w:style>
  <w:style w:type="paragraph" w:styleId="PlainText">
    <w:name w:val="Plain Text"/>
    <w:basedOn w:val="Normal"/>
    <w:link w:val="a4"/>
    <w:qFormat/>
    <w:rsid w:val="0049506b"/>
    <w:pPr/>
    <w:rPr>
      <w:rFonts w:ascii="Courier New" w:hAnsi="Courier New" w:eastAsia="Times New Roman" w:cs="Courier New"/>
      <w:sz w:val="20"/>
      <w:szCs w:val="20"/>
    </w:rPr>
  </w:style>
  <w:style w:type="paragraph" w:styleId="BodyText2">
    <w:name w:val="Body Text 2"/>
    <w:basedOn w:val="Normal"/>
    <w:link w:val="22"/>
    <w:qFormat/>
    <w:rsid w:val="0049506b"/>
    <w:pPr>
      <w:spacing w:lineRule="auto" w:line="480" w:before="0" w:after="120"/>
    </w:pPr>
    <w:rPr>
      <w:rFonts w:eastAsia="Times New Roman" w:cs="Times New Roman"/>
      <w:sz w:val="24"/>
      <w:szCs w:val="24"/>
    </w:rPr>
  </w:style>
  <w:style w:type="paragraph" w:styleId="12" w:customStyle="1">
    <w:name w:val="Стиль1"/>
    <w:basedOn w:val="Normal"/>
    <w:qFormat/>
    <w:rsid w:val="0049506b"/>
    <w:pPr/>
    <w:rPr>
      <w:rFonts w:eastAsia="MS Mincho" w:cs="Times New Roman"/>
      <w:szCs w:val="24"/>
    </w:rPr>
  </w:style>
  <w:style w:type="paragraph" w:styleId="ConsPlusNormal" w:customStyle="1">
    <w:name w:val="ConsPlu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8"/>
    <w:qFormat/>
    <w:rsid w:val="0049506b"/>
    <w:pPr/>
    <w:rPr>
      <w:rFonts w:ascii="Tahoma" w:hAnsi="Tahoma" w:eastAsia="Times New Roman" w:cs="Tahoma"/>
      <w:sz w:val="16"/>
      <w:szCs w:val="16"/>
    </w:rPr>
  </w:style>
  <w:style w:type="paragraph" w:styleId="Style25">
    <w:name w:val="Subtitle"/>
    <w:basedOn w:val="Normal"/>
    <w:link w:val="aa"/>
    <w:qFormat/>
    <w:rsid w:val="0049506b"/>
    <w:pPr/>
    <w:rPr>
      <w:rFonts w:eastAsia="Times New Roman" w:cs="Times New Roman"/>
      <w:b/>
      <w:szCs w:val="20"/>
    </w:rPr>
  </w:style>
  <w:style w:type="paragraph" w:styleId="ConsNormal" w:customStyle="1">
    <w:name w:val="Con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6" w:customStyle="1">
    <w:name w:val="Основное меню"/>
    <w:basedOn w:val="Normal"/>
    <w:qFormat/>
    <w:rsid w:val="0049506b"/>
    <w:pPr>
      <w:widowControl w:val="false"/>
      <w:ind w:firstLine="720"/>
    </w:pPr>
    <w:rPr>
      <w:rFonts w:ascii="Verdana" w:hAnsi="Verdana" w:eastAsia="Times New Roman" w:cs="Verdana"/>
    </w:rPr>
  </w:style>
  <w:style w:type="paragraph" w:styleId="Style27">
    <w:name w:val="Header"/>
    <w:basedOn w:val="Normal"/>
    <w:link w:val="af"/>
    <w:uiPriority w:val="99"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Style28">
    <w:name w:val="Footer"/>
    <w:basedOn w:val="Normal"/>
    <w:link w:val="af1"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NoSpacing">
    <w:name w:val="No Spacing"/>
    <w:link w:val="af3"/>
    <w:uiPriority w:val="1"/>
    <w:qFormat/>
    <w:rsid w:val="0049506b"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29">
    <w:name w:val="Body Text Indent"/>
    <w:basedOn w:val="Normal"/>
    <w:link w:val="af5"/>
    <w:rsid w:val="0049506b"/>
    <w:pPr>
      <w:spacing w:before="0" w:after="120"/>
      <w:ind w:left="283" w:hanging="0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06b"/>
    <w:pPr>
      <w:spacing w:before="0" w:after="0"/>
      <w:ind w:left="720" w:hanging="0"/>
      <w:contextualSpacing/>
    </w:pPr>
    <w:rPr>
      <w:rFonts w:ascii="Calibri" w:hAnsi="Calibri" w:eastAsia="Times New Roman" w:cs="Times New Roman"/>
    </w:rPr>
  </w:style>
  <w:style w:type="paragraph" w:styleId="ConsPlusNonformat" w:customStyle="1">
    <w:name w:val="ConsPlusNonformat"/>
    <w:qFormat/>
    <w:rsid w:val="00e25db9"/>
    <w:pPr>
      <w:widowControl w:val="false"/>
      <w:bidi w:val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en-US" w:bidi="ar-SA"/>
    </w:rPr>
  </w:style>
  <w:style w:type="paragraph" w:styleId="ConsPlusCell" w:customStyle="1">
    <w:name w:val="ConsPlusCell"/>
    <w:qFormat/>
    <w:rsid w:val="00e25db9"/>
    <w:pPr>
      <w:widowControl w:val="false"/>
      <w:bidi w:val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8a68f8"/>
    <w:pPr>
      <w:widowControl w:val="false"/>
      <w:bidi w:val="0"/>
      <w:jc w:val="left"/>
    </w:pPr>
    <w:rPr>
      <w:rFonts w:ascii="Times New Roman" w:hAnsi="Times New Roman" w:eastAsia="" w:cs="Times New Roman" w:eastAsiaTheme="minorEastAsia"/>
      <w:b/>
      <w:bCs/>
      <w:color w:val="auto"/>
      <w:kern w:val="0"/>
      <w:sz w:val="28"/>
      <w:szCs w:val="28"/>
      <w:lang w:val="ru-RU" w:eastAsia="ru-RU" w:bidi="ar-SA"/>
    </w:rPr>
  </w:style>
  <w:style w:type="paragraph" w:styleId="Style59" w:customStyle="1">
    <w:name w:val="Style59"/>
    <w:basedOn w:val="Normal"/>
    <w:qFormat/>
    <w:rsid w:val="0058655a"/>
    <w:pPr>
      <w:widowControl w:val="false"/>
    </w:pPr>
    <w:rPr>
      <w:rFonts w:eastAsia="Times New Roman" w:cs="Times New Roman"/>
      <w:sz w:val="24"/>
      <w:szCs w:val="24"/>
      <w:lang w:eastAsia="ru-RU"/>
    </w:rPr>
  </w:style>
  <w:style w:type="paragraph" w:styleId="Style30" w:customStyle="1">
    <w:name w:val="подпись"/>
    <w:basedOn w:val="Normal"/>
    <w:qFormat/>
    <w:rsid w:val="00d70434"/>
    <w:pPr>
      <w:overflowPunct w:val="true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styleId="13" w:customStyle="1">
    <w:name w:val="Должность1"/>
    <w:basedOn w:val="Normal"/>
    <w:qFormat/>
    <w:rsid w:val="00d70434"/>
    <w:pPr>
      <w:overflowPunct w:val="true"/>
      <w:jc w:val="left"/>
      <w:textAlignment w:val="baseline"/>
    </w:pPr>
    <w:rPr>
      <w:rFonts w:eastAsia="Times New Roman" w:cs="Times New Roman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9506b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7CE0-5DAA-47F3-B433-51DCEA0C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Application>LibreOffice/6.0.7.3.0$Linux_X86_64 LibreOffice_project/00m0$Build-3</Application>
  <Pages>4</Pages>
  <Words>979</Words>
  <Characters>7595</Characters>
  <CharactersWithSpaces>8823</CharactersWithSpaces>
  <Paragraphs>58</Paragraphs>
  <Company>КСП Варна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2017-10-19T10:29:00Z</dcterms:created>
  <dc:creator>Татьяна</dc:creator>
  <dc:description/>
  <dc:language>ru-RU</dc:language>
  <cp:lastModifiedBy/>
  <dcterms:modified xsi:type="dcterms:W3CDTF">2022-12-20T14:57:14Z</dcterms:modified>
  <cp:revision>84</cp:revision>
  <dc:subject>ревизии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