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42" y="0"/>
                <wp:lineTo x="-42" y="21100"/>
                <wp:lineTo x="21301" y="21100"/>
                <wp:lineTo x="21301" y="0"/>
                <wp:lineTo x="-42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>17 ноября 2022г.                                                                                     с.Варна</w:t>
      </w:r>
    </w:p>
    <w:p>
      <w:pPr>
        <w:pStyle w:val="Style59"/>
        <w:widowControl/>
        <w:ind w:left="1061" w:hanging="0"/>
        <w:rPr/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ЗАКЛЮЧЕНИЕ </w:t>
      </w:r>
      <w:r>
        <w:rPr>
          <w:b/>
          <w:color w:val="auto"/>
          <w:sz w:val="28"/>
          <w:szCs w:val="28"/>
        </w:rPr>
        <w:t>№ 30</w:t>
      </w:r>
    </w:p>
    <w:p>
      <w:pPr>
        <w:pStyle w:val="Style59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О результатах экспертно-аналитического мероприятия «Финансово-экономическая экспертиза проекта муниципальной программы  «По профилактике социального сиротства и семейного неблагополучия в  Варненском муниципальном районе Челябинской области»</w:t>
      </w:r>
    </w:p>
    <w:p>
      <w:pPr>
        <w:pStyle w:val="Style59"/>
        <w:widowControl/>
        <w:jc w:val="left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15.11.2022г. №56,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 xml:space="preserve">проект муниципальной программы </w:t>
      </w:r>
      <w:r>
        <w:rPr>
          <w:color w:val="auto"/>
          <w:szCs w:val="28"/>
        </w:rPr>
        <w:t>«По профилактике социального сиротства и семейного неблагополучия в Варненском муниципальном районе Челябинской области».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>мероприятия:</w:t>
      </w:r>
      <w:r>
        <w:rPr>
          <w:bCs/>
          <w:color w:val="auto"/>
          <w:szCs w:val="28"/>
        </w:rPr>
        <w:t xml:space="preserve"> 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color w:val="auto"/>
          <w:szCs w:val="28"/>
        </w:rPr>
        <w:t>«По профилактике социального сиротства и семейного неблагополучия в Варненском муниципальном районе Челябинской области»</w:t>
      </w:r>
      <w:r>
        <w:rPr>
          <w:bCs/>
          <w:color w:val="auto"/>
          <w:szCs w:val="28"/>
        </w:rPr>
        <w:t xml:space="preserve"> (далее по тексту Программа) и включения в расходную часть бюджета  Варненского муниципального района на 2023 год и плановый период 2024-2025 годов, исходя из целей, задач и ожидаемых результатов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Экспертиза проведена </w:t>
      </w: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</w:t>
      </w:r>
      <w:r>
        <w:rPr>
          <w:bCs/>
          <w:color w:val="auto"/>
          <w:szCs w:val="28"/>
        </w:rPr>
        <w:t xml:space="preserve"> на основе документов, представленных в Контрольно-счётную палату Варненского муниципального района 01.11.2022 года: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Cs/>
          <w:color w:val="auto"/>
          <w:szCs w:val="28"/>
        </w:rPr>
        <w:t xml:space="preserve">- проект муниципальной программы </w:t>
      </w:r>
      <w:r>
        <w:rPr>
          <w:color w:val="auto"/>
          <w:szCs w:val="28"/>
        </w:rPr>
        <w:t>«По профилактике социального сиротства и семейного неблагополучия в Варненском муниципальном районе в Челябинской области»</w:t>
      </w:r>
      <w:r>
        <w:rPr>
          <w:bCs/>
          <w:color w:val="auto"/>
          <w:szCs w:val="28"/>
        </w:rPr>
        <w:t>, в том числе: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Программы;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система мероприятий Программы и объемы их финансирования;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№2: целевые индикаторы и показатели Программы;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-Приложение №3: сведения о взаимосвязи мероприятий и результатов их выполнения с целевыми индикаторами Программы;  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rFonts w:eastAsia="MS Mincho" w:cs="Times New Roman"/>
          <w:color w:val="auto"/>
          <w:szCs w:val="28"/>
        </w:rPr>
        <w:t>- пояснительная записка</w:t>
      </w:r>
      <w:r>
        <w:rPr>
          <w:rFonts w:cs="Times New Roman"/>
          <w:color w:val="auto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РФ, Перечнем 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муниципальной Программы – Управление социальной защиты населения администрации Варненского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Соисполнители муниципальной программы – Администрация Варненского муниципального района Челябинской области, МУ Комплексный центр социального обслуживания населения Варненского муниципального района, </w:t>
      </w:r>
      <w:r>
        <w:rPr>
          <w:color w:val="auto"/>
        </w:rPr>
        <w:t>Центр помощи детям, оставшимся без попечения родителей Варненского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несет ответственность за реализацию муниципальных программ в целом (соисполнители – за целевое использование выделенных средств).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В соответствии пункту 2.2 Порядка №75 проект муниципальной программы состоит из 9 разделов, разделы Программы в целом  соответствуют типовому макету, предусмотренному Приложениями к Порядку №75.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rPr>
          <w:color w:val="CE181E"/>
        </w:rPr>
      </w:pPr>
      <w:r>
        <w:rPr>
          <w:rFonts w:eastAsia="MS Mincho" w:cs="Times New Roman"/>
          <w:iCs/>
          <w:color w:val="auto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Согласно проекту муниципальной Программы основными целями ее реализации являются: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снижение уровня социального сиротства и семейного неблагополучия, укрепление института семьи и подавление негативных социальных явлений за счет оказания помощи семьям, взявшим на воспитание приемных детей, совершенствования системы профилактики детского и семейного неблагополучия, повышения эффективности взаимодействия учреждений, осуществляющих профилактическую работу с семьями в Варненском районе.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 xml:space="preserve">Цели и задачи Программы соответствуют поставленной проблеме. 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Приложением 1 Программы представлен перечень мероприятий, необходимый для решения обозначенных в Программе задач, с указанием объемов финансирования по годам по каждому мероприятию и в целом по каждой задаче и по программе с указанием ответственного исполнителя. </w:t>
      </w:r>
      <w:r>
        <w:rPr>
          <w:rFonts w:eastAsia="MS Mincho" w:cs="Times New Roman"/>
          <w:iCs/>
          <w:color w:val="auto"/>
          <w:szCs w:val="28"/>
        </w:rPr>
        <w:t>Программные мероприятия отраженные в Приложении 1 Программы соответствуют целям и задачам Программы.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 реализации муниципальной Программы 2023-2025 годы,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Объем финансирования муниципальной Программы предусмотрен в размере 810,00 тыс. рублей, за счет средств местного бюджета, в том числе по годам реализации Программы:</w:t>
      </w:r>
    </w:p>
    <w:p>
      <w:pPr>
        <w:pStyle w:val="ListParagraph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>- 202</w:t>
      </w:r>
      <w:r>
        <w:rPr>
          <w:rFonts w:ascii="Times New Roman" w:hAnsi="Times New Roman"/>
          <w:color w:val="auto"/>
          <w:szCs w:val="28"/>
        </w:rPr>
        <w:t>3</w:t>
      </w:r>
      <w:r>
        <w:rPr>
          <w:rFonts w:ascii="Times New Roman" w:hAnsi="Times New Roman"/>
          <w:color w:val="auto"/>
          <w:szCs w:val="28"/>
        </w:rPr>
        <w:t xml:space="preserve"> год – 270,00 тыс. рублей,            </w:t>
      </w:r>
    </w:p>
    <w:p>
      <w:pPr>
        <w:pStyle w:val="ListParagraph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>- 202</w:t>
      </w:r>
      <w:r>
        <w:rPr>
          <w:rFonts w:ascii="Times New Roman" w:hAnsi="Times New Roman"/>
          <w:color w:val="auto"/>
          <w:szCs w:val="28"/>
        </w:rPr>
        <w:t>4</w:t>
      </w:r>
      <w:r>
        <w:rPr>
          <w:rFonts w:ascii="Times New Roman" w:hAnsi="Times New Roman"/>
          <w:color w:val="auto"/>
          <w:szCs w:val="28"/>
        </w:rPr>
        <w:t xml:space="preserve"> год – 270,00 тыс. рублей,           </w:t>
      </w:r>
    </w:p>
    <w:p>
      <w:pPr>
        <w:pStyle w:val="ListParagraph"/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>- 202</w:t>
      </w:r>
      <w:r>
        <w:rPr>
          <w:rFonts w:ascii="Times New Roman" w:hAnsi="Times New Roman"/>
          <w:color w:val="auto"/>
          <w:szCs w:val="28"/>
        </w:rPr>
        <w:t>5</w:t>
      </w:r>
      <w:r>
        <w:rPr>
          <w:rFonts w:ascii="Times New Roman" w:hAnsi="Times New Roman"/>
          <w:color w:val="auto"/>
          <w:szCs w:val="28"/>
        </w:rPr>
        <w:t xml:space="preserve"> год – 270,00 тыс. рублей. </w:t>
      </w:r>
    </w:p>
    <w:p>
      <w:pPr>
        <w:pStyle w:val="Normal"/>
        <w:spacing w:lineRule="auto" w:line="240"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Управление комплексом работ по реализации Программы осуществляет УСЗН, которое координирует деятельность исполнителей Программы, проводит анализ и формирует предложения по рациональному использованию финансовых ресурсов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color w:val="auto"/>
          <w:sz w:val="28"/>
          <w:szCs w:val="28"/>
        </w:rPr>
        <w:t xml:space="preserve">Для достижения целей Программы предлагается на 2023-2025 годы утвердить значение 6 индикаторов (показателей).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В приложении 3 к Программе перечень основных задач Программы представлен во взаимосвязи с целевыми индикаторами достижения целей Программы, что позволяет оценить ожидаемые конечные результаты реализации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cs="Times New Roman"/>
          <w:color w:val="auto"/>
          <w:szCs w:val="28"/>
        </w:rPr>
        <w:t xml:space="preserve">Финансово-экономическое обоснование Программы содержит расчет объема финансирования, произведенный на основе показателей аналогичных мероприятий проведенных в предыдущий 3-х летний период (2020-2022 гг.), с учетом среднего значения количества граждан принявших участие в реабилитационных мероприятиях.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 Индикативные показатели планируются с учетом положительной динамики. С учетом специфики Программы измерение ее результатов складывается на количественных оценках и статистических данных. Измеряемые показатели позволяют оценить степень достижения целей и поставленных задач.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Согласно пункту 2.1 Порядка №75 муниципальные программы разрабатываются исходя из положений стратегии долгосрочного социально-экономического развития Варненского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21409A"/>
          <w:sz w:val="28"/>
          <w:szCs w:val="28"/>
        </w:rPr>
        <w:t>В несоблюдение подпункта 4 пункт</w:t>
      </w:r>
      <w:r>
        <w:rPr>
          <w:b w:val="false"/>
          <w:bCs w:val="false"/>
          <w:color w:val="21409A"/>
          <w:sz w:val="28"/>
          <w:szCs w:val="28"/>
        </w:rPr>
        <w:t>а 1 статьи 18 Устава муниципального образования Варненский муниципальный район Челябинской области, принятого Постановлением Собрания депутатов Варненского муниципального района от 29.06.2005г. № 38, стратегия социально-экономического развития Варненского муниципального района нормативно-правовыми актами Собрания депутатов Варненского муниципального района не утверждена.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color w:val="CE181E"/>
          <w:sz w:val="28"/>
          <w:szCs w:val="28"/>
        </w:rPr>
      </w:pPr>
      <w:r>
        <w:rPr>
          <w:b w:val="false"/>
          <w:bCs w:val="false"/>
          <w:color w:val="CE181E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color w:val="auto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По профилактике социального сиротства и семейного неблагополучия в Варненском муниципальном районе Челябинской области</w:t>
      </w:r>
      <w:r>
        <w:rPr>
          <w:b/>
          <w:color w:val="auto"/>
          <w:szCs w:val="28"/>
        </w:rPr>
        <w:t xml:space="preserve">» </w:t>
      </w:r>
      <w:r>
        <w:rPr>
          <w:color w:val="auto"/>
          <w:szCs w:val="28"/>
        </w:rPr>
        <w:t xml:space="preserve">в представленной редакции. </w:t>
      </w:r>
    </w:p>
    <w:p>
      <w:pPr>
        <w:pStyle w:val="Normal"/>
        <w:shd w:val="clear" w:color="auto" w:fill="FFFFFF"/>
        <w:spacing w:lineRule="auto" w:line="240" w:before="0" w:after="0"/>
        <w:ind w:firstLine="720"/>
        <w:contextualSpacing/>
        <w:jc w:val="both"/>
        <w:rPr/>
      </w:pPr>
      <w:r>
        <w:rPr>
          <w:b w:val="false"/>
          <w:bCs w:val="false"/>
          <w:color w:val="auto"/>
          <w:sz w:val="28"/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bCs/>
          <w:color w:val="auto"/>
          <w:sz w:val="28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По профилактике социального сиротства и семейного неблагополучия в Варненском муниципальном районе Челябинской области</w:t>
      </w:r>
      <w:r>
        <w:rPr>
          <w:b/>
          <w:bCs/>
          <w:color w:val="auto"/>
          <w:sz w:val="28"/>
          <w:szCs w:val="28"/>
        </w:rPr>
        <w:t>»</w:t>
      </w:r>
      <w:r>
        <w:rPr>
          <w:b w:val="false"/>
          <w:bCs w:val="false"/>
          <w:color w:val="auto"/>
          <w:sz w:val="28"/>
          <w:szCs w:val="28"/>
        </w:rPr>
        <w:t xml:space="preserve"> необходимо будет привести в соответствие с законом (решением) о бюджете Варненского муниципального района на 2023 год и плановый период 2024-2025 годов не позднее трех месяцев со дня вступления его в силу.</w:t>
      </w:r>
    </w:p>
    <w:p>
      <w:pPr>
        <w:pStyle w:val="ListParagraph"/>
        <w:spacing w:lineRule="auto" w:line="240" w:before="0" w:after="0"/>
        <w:ind w:left="0" w:right="0" w:firstLine="709"/>
        <w:contextualSpacing/>
        <w:rPr>
          <w:color w:val="auto"/>
        </w:rPr>
      </w:pPr>
      <w:r>
        <w:rPr>
          <w:rFonts w:ascii="Times New Roman" w:hAnsi="Times New Roman"/>
          <w:b/>
          <w:color w:val="auto"/>
          <w:szCs w:val="28"/>
        </w:rPr>
        <w:t xml:space="preserve">                                         </w:t>
      </w:r>
    </w:p>
    <w:p>
      <w:pPr>
        <w:pStyle w:val="Normal"/>
        <w:rPr>
          <w:szCs w:val="28"/>
        </w:rPr>
      </w:pPr>
      <w:r>
        <w:rPr>
          <w:color w:val="auto"/>
          <w:szCs w:val="28"/>
        </w:rPr>
        <w:t>Заключение составлено на 4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/>
      </w:pPr>
      <w:r>
        <w:rPr>
          <w:color w:val="auto"/>
          <w:szCs w:val="28"/>
        </w:rPr>
        <w:t>Аудитор КСП                                                                       Л.В.Пальчикова</w:t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decimal"/>
      <w:lvlText w:val="%2)"/>
      <w:lvlJc w:val="left"/>
      <w:pPr>
        <w:ind w:left="0" w:hanging="0"/>
      </w:pPr>
      <w:rPr>
        <w:sz w:val="28"/>
        <w:szCs w:val="28"/>
        <w:rFonts w:cs="Times New Roman"/>
      </w:rPr>
    </w:lvl>
    <w:lvl w:ilvl="2">
      <w:start w:val="1"/>
      <w:numFmt w:val="decimal"/>
      <w:lvlText w:val="%2.%3)"/>
      <w:lvlJc w:val="left"/>
      <w:pPr>
        <w:ind w:left="0" w:hanging="0"/>
      </w:pPr>
      <w:rPr>
        <w:sz w:val="28"/>
        <w:szCs w:val="28"/>
        <w:rFonts w:cs="Times New Roman"/>
      </w:rPr>
    </w:lvl>
    <w:lvl w:ilvl="3">
      <w:start w:val="1"/>
      <w:numFmt w:val="decimal"/>
      <w:lvlText w:val="%2.%3.%4)"/>
      <w:lvlJc w:val="left"/>
      <w:pPr>
        <w:ind w:left="0" w:hanging="0"/>
      </w:pPr>
      <w:rPr>
        <w:sz w:val="28"/>
        <w:szCs w:val="28"/>
        <w:rFonts w:cs="Times New Roman"/>
      </w:rPr>
    </w:lvl>
    <w:lvl w:ilvl="4">
      <w:start w:val="1"/>
      <w:numFmt w:val="decimal"/>
      <w:lvlText w:val="%2.%3.%4.%5)"/>
      <w:lvlJc w:val="left"/>
      <w:pPr>
        <w:ind w:left="0" w:hanging="0"/>
      </w:pPr>
      <w:rPr>
        <w:sz w:val="28"/>
        <w:szCs w:val="28"/>
        <w:rFonts w:cs="Times New Roman"/>
      </w:rPr>
    </w:lvl>
    <w:lvl w:ilvl="5">
      <w:start w:val="1"/>
      <w:numFmt w:val="decimal"/>
      <w:lvlText w:val="%2.%3.%4.%5.%6)"/>
      <w:lvlJc w:val="left"/>
      <w:pPr>
        <w:ind w:left="0" w:hanging="0"/>
      </w:pPr>
      <w:rPr>
        <w:sz w:val="28"/>
        <w:szCs w:val="28"/>
        <w:rFonts w:cs="Times New Roman"/>
      </w:rPr>
    </w:lvl>
    <w:lvl w:ilvl="6">
      <w:start w:val="1"/>
      <w:numFmt w:val="decimal"/>
      <w:lvlText w:val="%2.%3.%4.%5.%6.%7)"/>
      <w:lvlJc w:val="left"/>
      <w:pPr>
        <w:ind w:left="0" w:hanging="0"/>
      </w:pPr>
      <w:rPr>
        <w:sz w:val="28"/>
        <w:szCs w:val="28"/>
        <w:rFonts w:cs="Times New Roman"/>
      </w:rPr>
    </w:lvl>
    <w:lvl w:ilvl="7">
      <w:start w:val="1"/>
      <w:numFmt w:val="decimal"/>
      <w:lvlText w:val="%2.%3.%4.%5.%6.%7.%8)"/>
      <w:lvlJc w:val="left"/>
      <w:pPr>
        <w:ind w:left="0" w:hanging="0"/>
      </w:pPr>
      <w:rPr>
        <w:sz w:val="28"/>
        <w:szCs w:val="28"/>
        <w:rFonts w:cs="Times New Roman"/>
      </w:rPr>
    </w:lvl>
    <w:lvl w:ilvl="8">
      <w:start w:val="1"/>
      <w:numFmt w:val="decimal"/>
      <w:lvlText w:val="%2.%3.%4.%5.%6.%7.%8.%9)"/>
      <w:lvlJc w:val="left"/>
      <w:pPr>
        <w:ind w:left="0" w:hanging="0"/>
      </w:pPr>
      <w:rPr>
        <w:sz w:val="28"/>
        <w:szCs w:val="28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 w:eastAsia="Times New Roman"/>
      <w:color w:val="000000"/>
    </w:rPr>
  </w:style>
  <w:style w:type="character" w:styleId="ListLabel18">
    <w:name w:val="ListLabel 18"/>
    <w:qFormat/>
    <w:rPr>
      <w:rFonts w:cs="OpenSymbol"/>
      <w:sz w:val="28"/>
    </w:rPr>
  </w:style>
  <w:style w:type="character" w:styleId="ListLabel19">
    <w:name w:val="ListLabel 19"/>
    <w:qFormat/>
    <w:rPr>
      <w:rFonts w:cs="Times New Roman"/>
      <w:sz w:val="28"/>
      <w:szCs w:val="28"/>
    </w:rPr>
  </w:style>
  <w:style w:type="character" w:styleId="ListLabel20">
    <w:name w:val="ListLabel 20"/>
    <w:qFormat/>
    <w:rPr>
      <w:rFonts w:cs="Times New Roman"/>
      <w:sz w:val="28"/>
      <w:szCs w:val="28"/>
    </w:rPr>
  </w:style>
  <w:style w:type="character" w:styleId="ListLabel21">
    <w:name w:val="ListLabel 21"/>
    <w:qFormat/>
    <w:rPr>
      <w:rFonts w:cs="Times New Roman"/>
      <w:sz w:val="28"/>
      <w:szCs w:val="28"/>
    </w:rPr>
  </w:style>
  <w:style w:type="character" w:styleId="ListLabel22">
    <w:name w:val="ListLabel 22"/>
    <w:qFormat/>
    <w:rPr>
      <w:rFonts w:cs="Times New Roman"/>
      <w:sz w:val="28"/>
      <w:szCs w:val="28"/>
    </w:rPr>
  </w:style>
  <w:style w:type="character" w:styleId="ListLabel23">
    <w:name w:val="ListLabel 23"/>
    <w:qFormat/>
    <w:rPr>
      <w:rFonts w:cs="Times New Roman"/>
      <w:sz w:val="28"/>
      <w:szCs w:val="28"/>
    </w:rPr>
  </w:style>
  <w:style w:type="character" w:styleId="ListLabel24">
    <w:name w:val="ListLabel 24"/>
    <w:qFormat/>
    <w:rPr>
      <w:rFonts w:cs="Times New Roman"/>
      <w:sz w:val="28"/>
      <w:szCs w:val="28"/>
    </w:rPr>
  </w:style>
  <w:style w:type="character" w:styleId="ListLabel25">
    <w:name w:val="ListLabel 25"/>
    <w:qFormat/>
    <w:rPr>
      <w:rFonts w:cs="Times New Roman"/>
      <w:sz w:val="28"/>
      <w:szCs w:val="28"/>
    </w:rPr>
  </w:style>
  <w:style w:type="character" w:styleId="ListLabel26">
    <w:name w:val="ListLabel 26"/>
    <w:qFormat/>
    <w:rPr>
      <w:rFonts w:cs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 w:eastAsia="Times New Roman"/>
      <w:color w:val="000000"/>
    </w:rPr>
  </w:style>
  <w:style w:type="character" w:styleId="ListLabel28">
    <w:name w:val="ListLabel 28"/>
    <w:qFormat/>
    <w:rPr>
      <w:rFonts w:cs="OpenSymbol"/>
      <w:sz w:val="28"/>
    </w:rPr>
  </w:style>
  <w:style w:type="character" w:styleId="ListLabel29">
    <w:name w:val="ListLabel 29"/>
    <w:qFormat/>
    <w:rPr>
      <w:rFonts w:cs="Times New Roman"/>
      <w:sz w:val="28"/>
      <w:szCs w:val="28"/>
    </w:rPr>
  </w:style>
  <w:style w:type="character" w:styleId="ListLabel30">
    <w:name w:val="ListLabel 30"/>
    <w:qFormat/>
    <w:rPr>
      <w:rFonts w:cs="Times New Roman"/>
      <w:sz w:val="28"/>
      <w:szCs w:val="28"/>
    </w:rPr>
  </w:style>
  <w:style w:type="character" w:styleId="ListLabel31">
    <w:name w:val="ListLabel 31"/>
    <w:qFormat/>
    <w:rPr>
      <w:rFonts w:cs="Times New Roman"/>
      <w:sz w:val="28"/>
      <w:szCs w:val="28"/>
    </w:rPr>
  </w:style>
  <w:style w:type="character" w:styleId="ListLabel32">
    <w:name w:val="ListLabel 32"/>
    <w:qFormat/>
    <w:rPr>
      <w:rFonts w:cs="Times New Roman"/>
      <w:sz w:val="28"/>
      <w:szCs w:val="28"/>
    </w:rPr>
  </w:style>
  <w:style w:type="character" w:styleId="ListLabel33">
    <w:name w:val="ListLabel 33"/>
    <w:qFormat/>
    <w:rPr>
      <w:rFonts w:cs="Times New Roman"/>
      <w:sz w:val="28"/>
      <w:szCs w:val="28"/>
    </w:rPr>
  </w:style>
  <w:style w:type="character" w:styleId="ListLabel34">
    <w:name w:val="ListLabel 34"/>
    <w:qFormat/>
    <w:rPr>
      <w:rFonts w:cs="Times New Roman"/>
      <w:sz w:val="28"/>
      <w:szCs w:val="28"/>
    </w:rPr>
  </w:style>
  <w:style w:type="character" w:styleId="ListLabel35">
    <w:name w:val="ListLabel 35"/>
    <w:qFormat/>
    <w:rPr>
      <w:rFonts w:cs="Times New Roman"/>
      <w:sz w:val="28"/>
      <w:szCs w:val="28"/>
    </w:rPr>
  </w:style>
  <w:style w:type="character" w:styleId="ListLabel36">
    <w:name w:val="ListLabel 36"/>
    <w:qFormat/>
    <w:rPr>
      <w:rFonts w:cs="Times New Roman"/>
      <w:sz w:val="28"/>
      <w:szCs w:val="28"/>
    </w:rPr>
  </w:style>
  <w:style w:type="character" w:styleId="ListLabel37">
    <w:name w:val="ListLabel 37"/>
    <w:qFormat/>
    <w:rPr>
      <w:rFonts w:ascii="Times New Roman" w:hAnsi="Times New Roman" w:eastAsia="Times New Roman"/>
      <w:color w:val="000000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9">
    <w:name w:val="ListLabel 39"/>
    <w:qFormat/>
    <w:rPr>
      <w:rFonts w:cs="Times New Roman"/>
      <w:sz w:val="28"/>
      <w:szCs w:val="28"/>
    </w:rPr>
  </w:style>
  <w:style w:type="character" w:styleId="ListLabel40">
    <w:name w:val="ListLabel 40"/>
    <w:qFormat/>
    <w:rPr>
      <w:rFonts w:cs="Times New Roman"/>
      <w:sz w:val="28"/>
      <w:szCs w:val="28"/>
    </w:rPr>
  </w:style>
  <w:style w:type="character" w:styleId="ListLabel41">
    <w:name w:val="ListLabel 41"/>
    <w:qFormat/>
    <w:rPr>
      <w:rFonts w:cs="Times New Roman"/>
      <w:sz w:val="28"/>
      <w:szCs w:val="28"/>
    </w:rPr>
  </w:style>
  <w:style w:type="character" w:styleId="ListLabel42">
    <w:name w:val="ListLabel 42"/>
    <w:qFormat/>
    <w:rPr>
      <w:rFonts w:cs="Times New Roman"/>
      <w:sz w:val="28"/>
      <w:szCs w:val="28"/>
    </w:rPr>
  </w:style>
  <w:style w:type="character" w:styleId="ListLabel43">
    <w:name w:val="ListLabel 43"/>
    <w:qFormat/>
    <w:rPr>
      <w:rFonts w:cs="Times New Roman"/>
      <w:sz w:val="28"/>
      <w:szCs w:val="28"/>
    </w:rPr>
  </w:style>
  <w:style w:type="character" w:styleId="ListLabel44">
    <w:name w:val="ListLabel 44"/>
    <w:qFormat/>
    <w:rPr>
      <w:rFonts w:cs="Times New Roman"/>
      <w:sz w:val="28"/>
      <w:szCs w:val="28"/>
    </w:rPr>
  </w:style>
  <w:style w:type="character" w:styleId="ListLabel45">
    <w:name w:val="ListLabel 45"/>
    <w:qFormat/>
    <w:rPr>
      <w:rFonts w:cs="Times New Roman"/>
      <w:sz w:val="28"/>
      <w:szCs w:val="28"/>
    </w:rPr>
  </w:style>
  <w:style w:type="character" w:styleId="ListLabel46">
    <w:name w:val="ListLabel 46"/>
    <w:qFormat/>
    <w:rPr>
      <w:rFonts w:cs="Times New Roman"/>
      <w:sz w:val="28"/>
      <w:szCs w:val="28"/>
    </w:rPr>
  </w:style>
  <w:style w:type="character" w:styleId="ListLabel47">
    <w:name w:val="ListLabel 47"/>
    <w:qFormat/>
    <w:rPr>
      <w:rFonts w:ascii="Times New Roman" w:hAnsi="Times New Roman" w:eastAsia="Times New Roman"/>
      <w:color w:val="000000"/>
    </w:rPr>
  </w:style>
  <w:style w:type="character" w:styleId="ListLabel48">
    <w:name w:val="ListLabel 48"/>
    <w:qFormat/>
    <w:rPr>
      <w:rFonts w:cs="OpenSymbol"/>
      <w:sz w:val="28"/>
    </w:rPr>
  </w:style>
  <w:style w:type="character" w:styleId="ListLabel49">
    <w:name w:val="ListLabel 49"/>
    <w:qFormat/>
    <w:rPr>
      <w:rFonts w:cs="Times New Roman"/>
      <w:sz w:val="28"/>
      <w:szCs w:val="28"/>
    </w:rPr>
  </w:style>
  <w:style w:type="character" w:styleId="ListLabel50">
    <w:name w:val="ListLabel 50"/>
    <w:qFormat/>
    <w:rPr>
      <w:rFonts w:cs="Times New Roman"/>
      <w:sz w:val="28"/>
      <w:szCs w:val="28"/>
    </w:rPr>
  </w:style>
  <w:style w:type="character" w:styleId="ListLabel51">
    <w:name w:val="ListLabel 51"/>
    <w:qFormat/>
    <w:rPr>
      <w:rFonts w:cs="Times New Roman"/>
      <w:sz w:val="28"/>
      <w:szCs w:val="28"/>
    </w:rPr>
  </w:style>
  <w:style w:type="character" w:styleId="ListLabel52">
    <w:name w:val="ListLabel 52"/>
    <w:qFormat/>
    <w:rPr>
      <w:rFonts w:cs="Times New Roman"/>
      <w:sz w:val="28"/>
      <w:szCs w:val="28"/>
    </w:rPr>
  </w:style>
  <w:style w:type="character" w:styleId="ListLabel53">
    <w:name w:val="ListLabel 53"/>
    <w:qFormat/>
    <w:rPr>
      <w:rFonts w:cs="Times New Roman"/>
      <w:sz w:val="28"/>
      <w:szCs w:val="28"/>
    </w:rPr>
  </w:style>
  <w:style w:type="character" w:styleId="ListLabel54">
    <w:name w:val="ListLabel 54"/>
    <w:qFormat/>
    <w:rPr>
      <w:rFonts w:cs="Times New Roman"/>
      <w:sz w:val="28"/>
      <w:szCs w:val="28"/>
    </w:rPr>
  </w:style>
  <w:style w:type="character" w:styleId="ListLabel55">
    <w:name w:val="ListLabel 55"/>
    <w:qFormat/>
    <w:rPr>
      <w:rFonts w:cs="Times New Roman"/>
      <w:sz w:val="28"/>
      <w:szCs w:val="28"/>
    </w:rPr>
  </w:style>
  <w:style w:type="character" w:styleId="ListLabel56">
    <w:name w:val="ListLabel 56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8D84-5D85-4BDC-A91B-738E091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Application>LibreOffice/6.0.7.3.0$Linux_X86_64 LibreOffice_project/00m0$Build-3</Application>
  <Pages>4</Pages>
  <Words>990</Words>
  <Characters>7765</Characters>
  <CharactersWithSpaces>9060</CharactersWithSpaces>
  <Paragraphs>47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2019-11-05T11:05:00Z</cp:lastPrinted>
  <dcterms:modified xsi:type="dcterms:W3CDTF">2022-12-06T15:55:31Z</dcterms:modified>
  <cp:revision>68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