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BAD7" w14:textId="77777777" w:rsidR="0001210C" w:rsidRPr="0001210C" w:rsidRDefault="0001210C" w:rsidP="0001210C">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01210C">
        <w:rPr>
          <w:rFonts w:ascii="Arial" w:eastAsia="Times New Roman" w:hAnsi="Arial" w:cs="Arial"/>
          <w:b/>
          <w:bCs/>
          <w:caps/>
          <w:color w:val="1C1C1C"/>
          <w:sz w:val="24"/>
          <w:szCs w:val="24"/>
          <w:lang w:eastAsia="ru-RU"/>
        </w:rPr>
        <w:t>РАЗЪЯСНЯЕМ ПРАВА ПОТРЕБИТЕЛЯ ПРИ ДИСТАНЦИОННОМ СПОСОБЕ ПРОДАЖИ ТОВАРА.</w:t>
      </w:r>
    </w:p>
    <w:p w14:paraId="69526FDE" w14:textId="77777777" w:rsidR="0001210C" w:rsidRPr="0001210C" w:rsidRDefault="0001210C" w:rsidP="0001210C">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01210C">
        <w:rPr>
          <w:rFonts w:ascii="Arial" w:eastAsia="Times New Roman" w:hAnsi="Arial" w:cs="Arial"/>
          <w:color w:val="828282"/>
          <w:sz w:val="24"/>
          <w:szCs w:val="24"/>
          <w:lang w:eastAsia="ru-RU"/>
        </w:rPr>
        <w:t>Разъясняем права потребителя при дистанционном способе продажи товара.</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В силу статьи 26.1 Закон РФ от 7 февраля 1992 г. № 2300-1 «О защите прав потребителей» (далее - закон)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Потребитель вправе отказаться от товара в любое время до его передачи, а после передачи товара - в течение семи дней.</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15 марта 2023 года консультирование граждан будет проводиться по телефону Единого консультационного центра Роспотребнадзора (8 800 555 49 43).</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lastRenderedPageBreak/>
        <w:t>Специалисты Управления Роспотребнадзора по Челябинской области и Консультационного центра и пунктов по защите прав потребителей ФБУЗ «Центр гигиены и эпидемиологии в Челябинской области» также проконсультируют граждан и предпринимателей по вопросам защиты прав потребителей по средствам телефонной связи:</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Территориальный отдел  в г. Магнитогорске, Агаповском, Кизильском, Нагайбакском, Верхнеуральском, Карталинском, Брединском и Варненском районах</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8(351-9) 20-24-36</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8(351-33) 2-26-56</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Отдел защиты прав потребителей</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791-12-49</w:t>
      </w:r>
      <w:r w:rsidRPr="0001210C">
        <w:rPr>
          <w:rFonts w:ascii="Arial" w:eastAsia="Times New Roman" w:hAnsi="Arial" w:cs="Arial"/>
          <w:color w:val="828282"/>
          <w:sz w:val="24"/>
          <w:szCs w:val="24"/>
          <w:lang w:eastAsia="ru-RU"/>
        </w:rPr>
        <w:br/>
      </w:r>
      <w:r w:rsidRPr="0001210C">
        <w:rPr>
          <w:rFonts w:ascii="Arial" w:eastAsia="Times New Roman" w:hAnsi="Arial" w:cs="Arial"/>
          <w:color w:val="828282"/>
          <w:sz w:val="24"/>
          <w:szCs w:val="24"/>
          <w:lang w:eastAsia="ru-RU"/>
        </w:rPr>
        <w:br/>
        <w:t>791-75-54</w:t>
      </w:r>
    </w:p>
    <w:p w14:paraId="42B01E91" w14:textId="77777777" w:rsidR="008A6AE6" w:rsidRDefault="008A6AE6"/>
    <w:sectPr w:rsidR="008A6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DB"/>
    <w:rsid w:val="0001210C"/>
    <w:rsid w:val="008A6AE6"/>
    <w:rsid w:val="0090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7FE5-405D-4455-829B-5CD1FCDC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Komek2</dc:creator>
  <cp:keywords/>
  <dc:description/>
  <cp:lastModifiedBy>Komek2</cp:lastModifiedBy>
  <cp:revision>3</cp:revision>
  <dcterms:created xsi:type="dcterms:W3CDTF">2023-01-30T04:25:00Z</dcterms:created>
  <dcterms:modified xsi:type="dcterms:W3CDTF">2023-01-30T04:25:00Z</dcterms:modified>
</cp:coreProperties>
</file>