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7279" w14:textId="77777777"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 wp14:anchorId="3AD61FF6" wp14:editId="4394F15D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CB4BF2" w14:textId="77777777" w:rsidR="0064541B" w:rsidRDefault="0064541B" w:rsidP="0064541B">
      <w:pPr>
        <w:rPr>
          <w:szCs w:val="26"/>
        </w:rPr>
      </w:pPr>
    </w:p>
    <w:p w14:paraId="732D6165" w14:textId="77777777"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14:paraId="2EFE61C5" w14:textId="77777777" w:rsidR="0064541B" w:rsidRPr="0064541B" w:rsidRDefault="0064541B" w:rsidP="0064541B">
      <w:pPr>
        <w:pStyle w:val="a7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Pr="0064541B">
        <w:rPr>
          <w:b/>
          <w:sz w:val="26"/>
        </w:rPr>
        <w:t xml:space="preserve"> Толстинского сельского поселения</w:t>
      </w:r>
    </w:p>
    <w:p w14:paraId="6FF982A1" w14:textId="77777777"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Варненского муниципального района</w:t>
      </w:r>
    </w:p>
    <w:p w14:paraId="52153FF1" w14:textId="77777777"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Челябинской области</w:t>
      </w:r>
    </w:p>
    <w:p w14:paraId="1442D84B" w14:textId="77777777" w:rsidR="0064541B" w:rsidRPr="0064541B" w:rsidRDefault="0064541B" w:rsidP="0064541B">
      <w:pPr>
        <w:pStyle w:val="a7"/>
        <w:rPr>
          <w:sz w:val="26"/>
        </w:rPr>
      </w:pPr>
    </w:p>
    <w:p w14:paraId="6370839F" w14:textId="77777777"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E764473" w14:textId="77777777" w:rsidR="0064541B" w:rsidRPr="0064541B" w:rsidRDefault="0064541B" w:rsidP="0064541B">
      <w:pPr>
        <w:pStyle w:val="a7"/>
        <w:rPr>
          <w:sz w:val="20"/>
          <w:szCs w:val="20"/>
        </w:rPr>
      </w:pPr>
    </w:p>
    <w:p w14:paraId="4A2CD9E0" w14:textId="5E1622F8" w:rsidR="0064541B" w:rsidRPr="0064541B" w:rsidRDefault="005363B4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31B7D">
        <w:rPr>
          <w:rFonts w:ascii="Times New Roman" w:hAnsi="Times New Roman" w:cs="Times New Roman"/>
          <w:sz w:val="24"/>
          <w:szCs w:val="24"/>
        </w:rPr>
        <w:t>9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64541B" w:rsidRPr="0064541B">
        <w:rPr>
          <w:rFonts w:ascii="Times New Roman" w:hAnsi="Times New Roman" w:cs="Times New Roman"/>
          <w:sz w:val="24"/>
          <w:szCs w:val="24"/>
        </w:rPr>
        <w:t xml:space="preserve"> </w:t>
      </w:r>
      <w:r w:rsidR="00163F6C">
        <w:rPr>
          <w:rFonts w:ascii="Times New Roman" w:hAnsi="Times New Roman" w:cs="Times New Roman"/>
          <w:sz w:val="24"/>
          <w:szCs w:val="24"/>
        </w:rPr>
        <w:t>июля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1B7D">
        <w:rPr>
          <w:rFonts w:ascii="Times New Roman" w:hAnsi="Times New Roman" w:cs="Times New Roman"/>
          <w:sz w:val="24"/>
          <w:szCs w:val="24"/>
        </w:rPr>
        <w:t>4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7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№ </w:t>
      </w:r>
      <w:r w:rsidR="00B31B7D">
        <w:rPr>
          <w:rFonts w:ascii="Times New Roman" w:hAnsi="Times New Roman" w:cs="Times New Roman"/>
          <w:sz w:val="24"/>
          <w:szCs w:val="24"/>
        </w:rPr>
        <w:t>08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35AF4802" w14:textId="77777777" w:rsidR="0064541B" w:rsidRPr="002373EA" w:rsidRDefault="0064541B" w:rsidP="0064541B">
      <w:pPr>
        <w:rPr>
          <w:sz w:val="20"/>
          <w:szCs w:val="20"/>
        </w:rPr>
      </w:pPr>
    </w:p>
    <w:p w14:paraId="206A4234" w14:textId="77777777"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14:paraId="277A97B0" w14:textId="77777777"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14:paraId="251A09C4" w14:textId="77777777"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14:paraId="72F55AF9" w14:textId="77777777"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B31B7D">
        <w:rPr>
          <w:color w:val="000000"/>
        </w:rPr>
        <w:t>5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14:paraId="49AFFA31" w14:textId="77777777"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B31B7D">
        <w:rPr>
          <w:color w:val="000000"/>
        </w:rPr>
        <w:t>6</w:t>
      </w:r>
      <w:r>
        <w:rPr>
          <w:color w:val="000000"/>
        </w:rPr>
        <w:t xml:space="preserve"> и 202</w:t>
      </w:r>
      <w:r w:rsidR="00B31B7D">
        <w:rPr>
          <w:color w:val="000000"/>
        </w:rPr>
        <w:t>7</w:t>
      </w:r>
      <w:r>
        <w:rPr>
          <w:color w:val="000000"/>
        </w:rPr>
        <w:t xml:space="preserve"> годов</w:t>
      </w:r>
    </w:p>
    <w:p w14:paraId="7F1E0DD4" w14:textId="77777777"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F056AA9" w14:textId="77777777"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DD9BDEB" w14:textId="77777777"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C56BE7">
        <w:rPr>
          <w:color w:val="000000"/>
        </w:rPr>
        <w:t>Толстинском</w:t>
      </w:r>
      <w:proofErr w:type="spellEnd"/>
      <w:r w:rsidR="00C56BE7">
        <w:rPr>
          <w:color w:val="000000"/>
        </w:rPr>
        <w:t xml:space="preserve"> сельском поселении»</w:t>
      </w:r>
    </w:p>
    <w:p w14:paraId="3557C91F" w14:textId="77777777"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B818F" w14:textId="77777777"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3135EF84" w14:textId="77777777"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26700" w14:textId="77777777"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B31B7D">
        <w:rPr>
          <w:color w:val="000000"/>
        </w:rPr>
        <w:t>5</w:t>
      </w:r>
      <w:r w:rsidR="00C56BE7">
        <w:rPr>
          <w:color w:val="000000"/>
        </w:rPr>
        <w:t xml:space="preserve"> год и плановый период 202</w:t>
      </w:r>
      <w:r w:rsidR="00B31B7D">
        <w:rPr>
          <w:color w:val="000000"/>
        </w:rPr>
        <w:t>6</w:t>
      </w:r>
      <w:r w:rsidR="00C56BE7">
        <w:rPr>
          <w:color w:val="000000"/>
        </w:rPr>
        <w:t xml:space="preserve"> и 202</w:t>
      </w:r>
      <w:r w:rsidR="00B31B7D">
        <w:rPr>
          <w:color w:val="000000"/>
        </w:rPr>
        <w:t>7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14:paraId="11A67938" w14:textId="77777777" w:rsidR="00C56BE7" w:rsidRDefault="00C56BE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Начальнику финансового отдела Е. В. Астафьевой</w:t>
      </w:r>
    </w:p>
    <w:p w14:paraId="3A850387" w14:textId="77777777"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14:paraId="1BE53600" w14:textId="77777777"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B31B7D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B31B7D">
        <w:rPr>
          <w:color w:val="000000"/>
        </w:rPr>
        <w:t>6</w:t>
      </w:r>
      <w:r>
        <w:rPr>
          <w:color w:val="000000"/>
        </w:rPr>
        <w:t xml:space="preserve"> и 202</w:t>
      </w:r>
      <w:r w:rsidR="00B31B7D">
        <w:rPr>
          <w:color w:val="000000"/>
        </w:rPr>
        <w:t>7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14:paraId="43555D51" w14:textId="77777777" w:rsidR="00204BA9" w:rsidRPr="00204BA9" w:rsidRDefault="00204BA9" w:rsidP="005348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C56B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9B28F" w14:textId="77777777"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C56BE7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14:paraId="6C73F263" w14:textId="77777777"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14:paraId="3726A305" w14:textId="77777777" w:rsidR="00204BA9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14:paraId="6048D5C0" w14:textId="77777777" w:rsidR="00B31B7D" w:rsidRPr="005348EA" w:rsidRDefault="00B31B7D" w:rsidP="005348EA">
      <w:pPr>
        <w:pStyle w:val="p4"/>
        <w:shd w:val="clear" w:color="auto" w:fill="FFFFFF"/>
        <w:spacing w:before="0" w:beforeAutospacing="0" w:after="0" w:afterAutospacing="0"/>
      </w:pPr>
    </w:p>
    <w:p w14:paraId="653D05E8" w14:textId="77777777" w:rsidR="005348EA" w:rsidRPr="00B31B7D" w:rsidRDefault="005348EA" w:rsidP="00B31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B31B7D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</w:t>
      </w:r>
      <w:proofErr w:type="spellStart"/>
      <w:r w:rsidR="00E61E69" w:rsidRPr="00B31B7D">
        <w:rPr>
          <w:rFonts w:ascii="Times New Roman" w:hAnsi="Times New Roman" w:cs="Times New Roman"/>
        </w:rPr>
        <w:t>П</w:t>
      </w:r>
      <w:r w:rsidR="0064541B" w:rsidRPr="00B31B7D">
        <w:rPr>
          <w:rFonts w:ascii="Times New Roman" w:hAnsi="Times New Roman" w:cs="Times New Roman"/>
        </w:rPr>
        <w:t>.</w:t>
      </w:r>
      <w:r w:rsidR="00E61E69" w:rsidRPr="00B31B7D">
        <w:rPr>
          <w:rFonts w:ascii="Times New Roman" w:hAnsi="Times New Roman" w:cs="Times New Roman"/>
        </w:rPr>
        <w:t>И</w:t>
      </w:r>
      <w:r w:rsidRPr="00B31B7D">
        <w:rPr>
          <w:rFonts w:ascii="Times New Roman" w:hAnsi="Times New Roman" w:cs="Times New Roman"/>
        </w:rPr>
        <w:t>.</w:t>
      </w:r>
      <w:r w:rsidR="00E61E69" w:rsidRPr="00B31B7D">
        <w:rPr>
          <w:rFonts w:ascii="Times New Roman" w:hAnsi="Times New Roman" w:cs="Times New Roman"/>
        </w:rPr>
        <w:t>Канайкин</w:t>
      </w:r>
      <w:proofErr w:type="spellEnd"/>
    </w:p>
    <w:p w14:paraId="71188958" w14:textId="77777777" w:rsidR="00502D05" w:rsidRPr="00B31B7D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5559DCAB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737374F1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2F5A462D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3542F34E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647CD1B3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23859C1E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57C2E770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6B35AAE5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04EA1306" w14:textId="77777777"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14:paraId="22E87C29" w14:textId="77777777"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14:paraId="4BF00676" w14:textId="77777777"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14:paraId="5234C757" w14:textId="77777777"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Толстинского сельского поселения</w:t>
      </w:r>
    </w:p>
    <w:p w14:paraId="4DD032B7" w14:textId="77777777"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5363B4">
        <w:rPr>
          <w:b/>
          <w:sz w:val="24"/>
          <w:szCs w:val="24"/>
        </w:rPr>
        <w:t>2</w:t>
      </w:r>
      <w:r w:rsidR="00B31B7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163F6C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B31B7D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г. № </w:t>
      </w:r>
      <w:r w:rsidR="00B31B7D">
        <w:rPr>
          <w:b/>
          <w:sz w:val="24"/>
          <w:szCs w:val="24"/>
        </w:rPr>
        <w:t>08</w:t>
      </w:r>
      <w:r w:rsidRPr="007063A1">
        <w:rPr>
          <w:b/>
          <w:sz w:val="24"/>
          <w:szCs w:val="24"/>
        </w:rPr>
        <w:t xml:space="preserve">   </w:t>
      </w:r>
    </w:p>
    <w:p w14:paraId="473675B7" w14:textId="77777777"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B31B7D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B31B7D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и 202</w:t>
      </w:r>
      <w:r w:rsidR="00B31B7D">
        <w:rPr>
          <w:b/>
          <w:sz w:val="24"/>
          <w:szCs w:val="24"/>
        </w:rPr>
        <w:t>7</w:t>
      </w:r>
      <w:r w:rsidRPr="007063A1">
        <w:rPr>
          <w:b/>
          <w:sz w:val="24"/>
          <w:szCs w:val="24"/>
        </w:rPr>
        <w:t xml:space="preserve"> годов</w:t>
      </w:r>
    </w:p>
    <w:p w14:paraId="0F4EC227" w14:textId="77777777"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14:paraId="5B7B0F62" w14:textId="77777777"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B31B7D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proofErr w:type="spellStart"/>
      <w:r>
        <w:rPr>
          <w:sz w:val="24"/>
          <w:szCs w:val="24"/>
        </w:rPr>
        <w:t>Толстинском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14:paraId="1B0A0BCE" w14:textId="77777777"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14:paraId="6B739235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Толстинского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14:paraId="4BBCFA2F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14:paraId="2BD6AB87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6</w:t>
      </w:r>
      <w:r w:rsidRPr="007C2F5E">
        <w:rPr>
          <w:sz w:val="24"/>
          <w:szCs w:val="24"/>
        </w:rPr>
        <w:t>и 202</w:t>
      </w:r>
      <w:r w:rsidR="00B31B7D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B31B7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B31B7D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B31B7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14:paraId="657F1456" w14:textId="77777777"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14:paraId="573C0D38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14:paraId="35D3FF5A" w14:textId="77777777"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163F6C">
        <w:rPr>
          <w:sz w:val="24"/>
          <w:szCs w:val="24"/>
        </w:rPr>
        <w:t xml:space="preserve">распоряжением Администрации от </w:t>
      </w:r>
      <w:r w:rsidR="00B31B7D">
        <w:rPr>
          <w:sz w:val="24"/>
          <w:szCs w:val="24"/>
        </w:rPr>
        <w:t>31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B31B7D">
        <w:rPr>
          <w:sz w:val="24"/>
          <w:szCs w:val="24"/>
        </w:rPr>
        <w:t>4</w:t>
      </w:r>
      <w:r w:rsidR="00E91E9D" w:rsidRPr="009C65BE">
        <w:rPr>
          <w:sz w:val="24"/>
          <w:szCs w:val="24"/>
        </w:rPr>
        <w:t xml:space="preserve"> г. № </w:t>
      </w:r>
      <w:r w:rsidR="00163F6C">
        <w:rPr>
          <w:sz w:val="24"/>
          <w:szCs w:val="24"/>
        </w:rPr>
        <w:t>11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B31B7D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 и на плановый период 202</w:t>
      </w:r>
      <w:r w:rsidR="00B31B7D">
        <w:rPr>
          <w:sz w:val="24"/>
          <w:szCs w:val="24"/>
        </w:rPr>
        <w:t>6</w:t>
      </w:r>
      <w:r w:rsidR="00163F6C">
        <w:rPr>
          <w:sz w:val="24"/>
          <w:szCs w:val="24"/>
        </w:rPr>
        <w:t xml:space="preserve"> и 202</w:t>
      </w:r>
      <w:r w:rsidR="00B31B7D">
        <w:rPr>
          <w:sz w:val="24"/>
          <w:szCs w:val="24"/>
        </w:rPr>
        <w:t>7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14:paraId="20F7E9A7" w14:textId="77777777"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proofErr w:type="spellStart"/>
      <w:r w:rsidR="00E91E9D" w:rsidRPr="009C65BE">
        <w:rPr>
          <w:sz w:val="24"/>
          <w:szCs w:val="24"/>
        </w:rPr>
        <w:t>Толстинского</w:t>
      </w:r>
      <w:proofErr w:type="spellEnd"/>
      <w:r w:rsidR="00E91E9D" w:rsidRPr="009C65BE">
        <w:rPr>
          <w:sz w:val="24"/>
          <w:szCs w:val="24"/>
        </w:rPr>
        <w:t xml:space="preserve"> сельского пос</w:t>
      </w:r>
      <w:r w:rsidR="001F0C14">
        <w:rPr>
          <w:sz w:val="24"/>
          <w:szCs w:val="24"/>
        </w:rPr>
        <w:t>е</w:t>
      </w:r>
      <w:r w:rsidR="00E91E9D" w:rsidRPr="009C65BE">
        <w:rPr>
          <w:sz w:val="24"/>
          <w:szCs w:val="24"/>
        </w:rPr>
        <w:t>ления</w:t>
      </w:r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14:paraId="61CB69DB" w14:textId="77777777"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14:paraId="53A8ED9E" w14:textId="77777777"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14:paraId="12B0B84B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14:paraId="209ACC52" w14:textId="77777777"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14:paraId="6D9D2CAB" w14:textId="77777777"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14:paraId="41C795E1" w14:textId="77777777"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год и на плановый период 202</w:t>
      </w:r>
      <w:r w:rsidR="00B31B7D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и 202</w:t>
      </w:r>
      <w:r w:rsidR="00B31B7D">
        <w:rPr>
          <w:sz w:val="24"/>
          <w:szCs w:val="24"/>
        </w:rPr>
        <w:t>7</w:t>
      </w:r>
      <w:r w:rsidRPr="005C2D4A">
        <w:rPr>
          <w:sz w:val="24"/>
          <w:szCs w:val="24"/>
        </w:rPr>
        <w:t xml:space="preserve"> годов обусловлены:</w:t>
      </w:r>
    </w:p>
    <w:p w14:paraId="20CDB906" w14:textId="77777777"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>им увеличением объема расходов</w:t>
      </w:r>
      <w:r w:rsidRPr="009C65BE">
        <w:rPr>
          <w:sz w:val="24"/>
          <w:szCs w:val="24"/>
        </w:rPr>
        <w:t xml:space="preserve">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E91E9D" w:rsidRPr="009C65BE">
        <w:rPr>
          <w:sz w:val="24"/>
          <w:szCs w:val="24"/>
        </w:rPr>
        <w:t>Толстинском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proofErr w:type="spellStart"/>
      <w:r w:rsidR="00E91E9D" w:rsidRPr="009C65BE">
        <w:rPr>
          <w:sz w:val="24"/>
          <w:szCs w:val="24"/>
        </w:rPr>
        <w:t>Толстинского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(далее именуются - проекты);</w:t>
      </w:r>
    </w:p>
    <w:p w14:paraId="0F3FDE52" w14:textId="77777777"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14:paraId="204099AD" w14:textId="77777777"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>, Толстинского сельского поселения</w:t>
      </w:r>
      <w:r w:rsidRPr="007C2F5E">
        <w:rPr>
          <w:sz w:val="24"/>
          <w:szCs w:val="24"/>
        </w:rPr>
        <w:t>;</w:t>
      </w:r>
    </w:p>
    <w:p w14:paraId="695449ED" w14:textId="77777777"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A23B2B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r w:rsidR="00A23B2B">
        <w:rPr>
          <w:sz w:val="24"/>
          <w:szCs w:val="24"/>
        </w:rPr>
        <w:t>Варненским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A23B2B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14:paraId="61A4FF42" w14:textId="77777777"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Толстинского сельского поселения</w:t>
      </w:r>
      <w:r w:rsidRPr="007C2F5E">
        <w:rPr>
          <w:sz w:val="24"/>
          <w:szCs w:val="24"/>
        </w:rPr>
        <w:t>;</w:t>
      </w:r>
    </w:p>
    <w:p w14:paraId="11E171FA" w14:textId="77777777"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14:paraId="10DE45FC" w14:textId="77777777"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14:paraId="3A2F96EF" w14:textId="77777777"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14:paraId="4EBE261D" w14:textId="77777777"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1E05B8">
        <w:rPr>
          <w:sz w:val="24"/>
          <w:szCs w:val="24"/>
        </w:rPr>
        <w:t>Толстинского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>Администрации Толстинского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230381">
        <w:rPr>
          <w:sz w:val="24"/>
          <w:szCs w:val="24"/>
        </w:rPr>
        <w:t>-202</w:t>
      </w:r>
      <w:r w:rsidR="00B31B7D">
        <w:rPr>
          <w:sz w:val="24"/>
          <w:szCs w:val="24"/>
        </w:rPr>
        <w:t>7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230381">
        <w:rPr>
          <w:sz w:val="24"/>
          <w:szCs w:val="24"/>
        </w:rPr>
        <w:t xml:space="preserve"> году.</w:t>
      </w:r>
    </w:p>
    <w:p w14:paraId="6FC917D3" w14:textId="77777777"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1E05B8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>Администрации Толстинского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>-202</w:t>
      </w:r>
      <w:r w:rsidR="00B31B7D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году.</w:t>
      </w:r>
    </w:p>
    <w:p w14:paraId="10A3EC12" w14:textId="77777777"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B31B7D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>-202</w:t>
      </w:r>
      <w:r w:rsidR="00B31B7D">
        <w:rPr>
          <w:b/>
          <w:sz w:val="24"/>
          <w:szCs w:val="24"/>
        </w:rPr>
        <w:t>7</w:t>
      </w:r>
      <w:r w:rsidRPr="007063A1">
        <w:rPr>
          <w:b/>
          <w:sz w:val="24"/>
          <w:szCs w:val="24"/>
        </w:rPr>
        <w:t xml:space="preserve"> годы</w:t>
      </w:r>
    </w:p>
    <w:p w14:paraId="7BA43019" w14:textId="77777777"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1E05B8">
        <w:rPr>
          <w:sz w:val="24"/>
          <w:szCs w:val="24"/>
        </w:rPr>
        <w:t>Толстинского сельского поселения</w:t>
      </w:r>
      <w:r w:rsidR="005363B4">
        <w:rPr>
          <w:sz w:val="24"/>
          <w:szCs w:val="24"/>
        </w:rPr>
        <w:t xml:space="preserve"> «О бюджете на 202</w:t>
      </w:r>
      <w:r w:rsidR="00B31B7D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годов».</w:t>
      </w:r>
    </w:p>
    <w:p w14:paraId="64D62CCF" w14:textId="77777777"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14:paraId="0781F99D" w14:textId="77777777"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14:paraId="2051AB8B" w14:textId="77777777"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14:paraId="782EAD1D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14:paraId="31B42586" w14:textId="77777777"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14:paraId="67106669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E671C4">
        <w:rPr>
          <w:sz w:val="24"/>
          <w:szCs w:val="24"/>
        </w:rPr>
        <w:t>5</w:t>
      </w:r>
      <w:r w:rsidRPr="00A865FA">
        <w:rPr>
          <w:sz w:val="24"/>
          <w:szCs w:val="24"/>
        </w:rPr>
        <w:t xml:space="preserve"> года до </w:t>
      </w:r>
      <w:r w:rsidR="00163F6C">
        <w:rPr>
          <w:sz w:val="24"/>
          <w:szCs w:val="24"/>
        </w:rPr>
        <w:t>2</w:t>
      </w:r>
      <w:r w:rsidR="003F2F63">
        <w:rPr>
          <w:sz w:val="24"/>
          <w:szCs w:val="24"/>
        </w:rPr>
        <w:t>4</w:t>
      </w:r>
      <w:r w:rsidR="00163F6C">
        <w:rPr>
          <w:sz w:val="24"/>
          <w:szCs w:val="24"/>
        </w:rPr>
        <w:t> </w:t>
      </w:r>
      <w:r w:rsidR="003F2F63">
        <w:rPr>
          <w:sz w:val="24"/>
          <w:szCs w:val="24"/>
        </w:rPr>
        <w:t>530</w:t>
      </w:r>
      <w:r w:rsidR="00163F6C">
        <w:rPr>
          <w:sz w:val="24"/>
          <w:szCs w:val="24"/>
        </w:rPr>
        <w:t>,</w:t>
      </w:r>
      <w:r w:rsidR="003F2F63">
        <w:rPr>
          <w:sz w:val="24"/>
          <w:szCs w:val="24"/>
        </w:rPr>
        <w:t>0</w:t>
      </w:r>
      <w:r w:rsidR="00163F6C">
        <w:rPr>
          <w:sz w:val="24"/>
          <w:szCs w:val="24"/>
        </w:rPr>
        <w:t>0</w:t>
      </w:r>
      <w:r w:rsidRPr="00A865FA">
        <w:rPr>
          <w:sz w:val="24"/>
          <w:szCs w:val="24"/>
        </w:rPr>
        <w:t xml:space="preserve"> рублей;</w:t>
      </w:r>
    </w:p>
    <w:p w14:paraId="7B35B716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B31B7D">
        <w:rPr>
          <w:sz w:val="24"/>
          <w:szCs w:val="24"/>
        </w:rPr>
        <w:t>5</w:t>
      </w:r>
      <w:r w:rsidRPr="007C2F5E">
        <w:rPr>
          <w:sz w:val="24"/>
          <w:szCs w:val="24"/>
        </w:rPr>
        <w:t>-202</w:t>
      </w:r>
      <w:r w:rsidR="00B31B7D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14:paraId="56BDCB3D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14:paraId="4A2AD3ED" w14:textId="77777777"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14:paraId="68111319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14:paraId="7216846A" w14:textId="77777777"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14:paraId="64E2CAA5" w14:textId="77777777"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14:paraId="6B850AC2" w14:textId="77777777"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FE362F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резервируются:</w:t>
      </w:r>
    </w:p>
    <w:p w14:paraId="69FAA71D" w14:textId="77777777"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proofErr w:type="gramStart"/>
      <w:r w:rsidRPr="00224756">
        <w:rPr>
          <w:sz w:val="24"/>
          <w:szCs w:val="24"/>
        </w:rPr>
        <w:t>соответствии  с</w:t>
      </w:r>
      <w:proofErr w:type="gramEnd"/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14:paraId="4FEA0071" w14:textId="77777777"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14:paraId="5F1FC105" w14:textId="77777777"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14:paraId="603CD214" w14:textId="77777777"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D1A61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18542D5F" w14:textId="77777777"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14:paraId="705D62C3" w14:textId="77777777"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14:paraId="49A2B718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14:paraId="0256EF0F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3E4319">
        <w:rPr>
          <w:sz w:val="24"/>
          <w:szCs w:val="24"/>
        </w:rPr>
        <w:t>;</w:t>
      </w:r>
    </w:p>
    <w:p w14:paraId="5C1DD608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14:paraId="7FA8EAF7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14:paraId="0E4AF274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14:paraId="6C441531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14:paraId="0AEDFCD4" w14:textId="77777777"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14:paraId="67090696" w14:textId="77777777"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3E4319">
        <w:rPr>
          <w:sz w:val="24"/>
          <w:szCs w:val="24"/>
        </w:rPr>
        <w:t>.</w:t>
      </w:r>
    </w:p>
    <w:p w14:paraId="604EA3D3" w14:textId="77777777"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 w:rsidR="00602CE9"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год и на плановый период 202</w:t>
      </w:r>
      <w:r w:rsidR="00FE362F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и 202</w:t>
      </w:r>
      <w:r w:rsidR="00FE362F">
        <w:rPr>
          <w:sz w:val="24"/>
          <w:szCs w:val="24"/>
        </w:rPr>
        <w:t>7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от </w:t>
      </w:r>
      <w:r w:rsidR="00FE362F">
        <w:rPr>
          <w:sz w:val="24"/>
          <w:szCs w:val="24"/>
        </w:rPr>
        <w:t>31</w:t>
      </w:r>
      <w:r w:rsidR="00602CE9">
        <w:rPr>
          <w:sz w:val="24"/>
          <w:szCs w:val="24"/>
        </w:rPr>
        <w:t>.</w:t>
      </w:r>
      <w:r w:rsidRPr="009C65BE">
        <w:rPr>
          <w:sz w:val="24"/>
          <w:szCs w:val="24"/>
        </w:rPr>
        <w:t>0</w:t>
      </w:r>
      <w:r w:rsidR="00602CE9">
        <w:rPr>
          <w:sz w:val="24"/>
          <w:szCs w:val="24"/>
        </w:rPr>
        <w:t>5</w:t>
      </w:r>
      <w:r w:rsidRPr="009C65BE">
        <w:rPr>
          <w:sz w:val="24"/>
          <w:szCs w:val="24"/>
        </w:rPr>
        <w:t>.20</w:t>
      </w:r>
      <w:r w:rsidR="00602CE9">
        <w:rPr>
          <w:sz w:val="24"/>
          <w:szCs w:val="24"/>
        </w:rPr>
        <w:t>2</w:t>
      </w:r>
      <w:r w:rsidR="00FE362F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г. № </w:t>
      </w:r>
      <w:r w:rsidR="00163F6C">
        <w:rPr>
          <w:sz w:val="24"/>
          <w:szCs w:val="24"/>
        </w:rPr>
        <w:t>11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14:paraId="43EFAEBE" w14:textId="77777777"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14:paraId="5D0F87BD" w14:textId="77777777"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14:paraId="37D739E6" w14:textId="77777777"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14:paraId="56D4F708" w14:textId="77777777"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14:paraId="4315DCE0" w14:textId="77777777"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14:paraId="38C75797" w14:textId="77777777"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14:paraId="52780A01" w14:textId="77777777"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r w:rsidR="005D1A61">
        <w:rPr>
          <w:sz w:val="24"/>
          <w:szCs w:val="24"/>
        </w:rPr>
        <w:t>Толстинского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14:paraId="6224B382" w14:textId="77777777"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14:paraId="350778B0" w14:textId="77777777"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14:paraId="7AADD871" w14:textId="77777777"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14:paraId="7A556574" w14:textId="77777777"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7548EC">
        <w:rPr>
          <w:sz w:val="24"/>
          <w:szCs w:val="24"/>
        </w:rPr>
        <w:t>Толстинского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14:paraId="3921FD77" w14:textId="77777777"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7548EC">
        <w:rPr>
          <w:sz w:val="24"/>
          <w:szCs w:val="24"/>
        </w:rPr>
        <w:t xml:space="preserve">Толстинского сельского </w:t>
      </w:r>
      <w:r w:rsidR="007548EC">
        <w:rPr>
          <w:sz w:val="24"/>
          <w:szCs w:val="24"/>
        </w:rPr>
        <w:lastRenderedPageBreak/>
        <w:t>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14:paraId="68058E7A" w14:textId="77777777"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14:paraId="3837CCC4" w14:textId="77777777"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14:paraId="4FB74B00" w14:textId="77777777"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14:paraId="45C529FF" w14:textId="77777777"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14:paraId="37E9042A" w14:textId="77777777"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FE362F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 и на плановый период 202</w:t>
      </w:r>
      <w:r w:rsidR="00FE362F">
        <w:rPr>
          <w:sz w:val="24"/>
          <w:szCs w:val="24"/>
        </w:rPr>
        <w:t>6</w:t>
      </w:r>
      <w:r w:rsidRPr="009C65BE">
        <w:rPr>
          <w:sz w:val="24"/>
          <w:szCs w:val="24"/>
        </w:rPr>
        <w:t>-202</w:t>
      </w:r>
      <w:r w:rsidR="00FE362F">
        <w:rPr>
          <w:sz w:val="24"/>
          <w:szCs w:val="24"/>
        </w:rPr>
        <w:t>7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14:paraId="015181A6" w14:textId="77777777"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14:paraId="2EE76E3C" w14:textId="77777777"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14:paraId="7F7CBEB9" w14:textId="77777777"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FE362F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FE362F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и 202</w:t>
      </w:r>
      <w:r w:rsidR="00FE362F">
        <w:rPr>
          <w:b/>
          <w:sz w:val="24"/>
          <w:szCs w:val="24"/>
        </w:rPr>
        <w:t>7</w:t>
      </w:r>
      <w:r w:rsidRPr="00831833">
        <w:rPr>
          <w:b/>
          <w:sz w:val="24"/>
          <w:szCs w:val="24"/>
        </w:rPr>
        <w:t xml:space="preserve"> годов</w:t>
      </w:r>
    </w:p>
    <w:p w14:paraId="6FADBD1F" w14:textId="77777777"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14:paraId="773D44DF" w14:textId="77777777"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14:paraId="04880D89" w14:textId="77777777"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14:paraId="727BF13F" w14:textId="77777777"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14:paraId="17E2EBBC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14:paraId="777A49DC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14:paraId="29707077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непрограммных направлений расходов - главными распорядителями по курируемым направлениям.</w:t>
      </w:r>
    </w:p>
    <w:p w14:paraId="59973C4D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14:paraId="19F14339" w14:textId="77777777"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14:paraId="57AC8EBD" w14:textId="77777777"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14:paraId="11ECC8DF" w14:textId="77777777"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14:paraId="43E2CF2E" w14:textId="77777777"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14:paraId="6F32EC14" w14:textId="77777777"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7C2F5E">
        <w:rPr>
          <w:sz w:val="24"/>
          <w:szCs w:val="24"/>
        </w:rPr>
        <w:t>-202</w:t>
      </w:r>
      <w:r w:rsidR="00FE362F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14:paraId="0F97A957" w14:textId="77777777"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r w:rsidRPr="00A17DEC">
        <w:rPr>
          <w:sz w:val="24"/>
          <w:szCs w:val="24"/>
        </w:rPr>
        <w:t>Порядком  формирования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14:paraId="48481BA3" w14:textId="77777777"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862D41">
        <w:rPr>
          <w:sz w:val="24"/>
          <w:szCs w:val="24"/>
        </w:rPr>
        <w:t>изменений  в  порядок  применения  классификации  операций  сектора государственного  управления,  утвержденных  приказом  Минфина  России от 13 мая 2019 года № 69н (далее – Порядок № 69н);</w:t>
      </w:r>
    </w:p>
    <w:p w14:paraId="11591C6D" w14:textId="77777777"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FE362F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год и на плановый период 202</w:t>
      </w:r>
      <w:r w:rsidR="00FE362F">
        <w:rPr>
          <w:sz w:val="24"/>
          <w:szCs w:val="24"/>
        </w:rPr>
        <w:t>6</w:t>
      </w:r>
      <w:r w:rsidR="00777D30"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>и 202</w:t>
      </w:r>
      <w:r w:rsidR="00FE362F">
        <w:rPr>
          <w:sz w:val="24"/>
          <w:szCs w:val="24"/>
        </w:rPr>
        <w:t>7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14:paraId="22A43DC4" w14:textId="77777777"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FE362F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годов;</w:t>
      </w:r>
    </w:p>
    <w:p w14:paraId="11E25C93" w14:textId="77777777"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 xml:space="preserve">Аналитической таблицы направлений расходов, </w:t>
      </w:r>
      <w:proofErr w:type="gramStart"/>
      <w:r w:rsidRPr="00A17DEC">
        <w:rPr>
          <w:sz w:val="24"/>
          <w:szCs w:val="24"/>
        </w:rPr>
        <w:t>применяемых  в</w:t>
      </w:r>
      <w:proofErr w:type="gramEnd"/>
      <w:r w:rsidRPr="00A17DEC">
        <w:rPr>
          <w:sz w:val="24"/>
          <w:szCs w:val="24"/>
        </w:rPr>
        <w:t xml:space="preserve">  20</w:t>
      </w:r>
      <w:r w:rsidR="00602CE9">
        <w:rPr>
          <w:sz w:val="24"/>
          <w:szCs w:val="24"/>
        </w:rPr>
        <w:t>2</w:t>
      </w:r>
      <w:r w:rsidR="00FE362F">
        <w:rPr>
          <w:sz w:val="24"/>
          <w:szCs w:val="24"/>
        </w:rPr>
        <w:t>4</w:t>
      </w:r>
      <w:r w:rsidRPr="00A17DEC">
        <w:rPr>
          <w:sz w:val="24"/>
          <w:szCs w:val="24"/>
        </w:rPr>
        <w:t>-202</w:t>
      </w:r>
      <w:r w:rsidR="00FE362F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годах;</w:t>
      </w:r>
    </w:p>
    <w:p w14:paraId="34063B1C" w14:textId="77777777"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 и на плановый период 202</w:t>
      </w:r>
      <w:r w:rsidR="00FE362F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и 202</w:t>
      </w:r>
      <w:r w:rsidR="00FE362F">
        <w:rPr>
          <w:sz w:val="24"/>
          <w:szCs w:val="24"/>
        </w:rPr>
        <w:t>7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FE362F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 и на плановый период 202</w:t>
      </w:r>
      <w:r w:rsidR="00FE362F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и 202</w:t>
      </w:r>
      <w:r w:rsidR="00FE362F">
        <w:rPr>
          <w:sz w:val="24"/>
          <w:szCs w:val="24"/>
        </w:rPr>
        <w:t>7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14:paraId="6E16747D" w14:textId="77777777"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FE362F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FE362F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и  202</w:t>
      </w:r>
      <w:r w:rsidR="00FE362F">
        <w:rPr>
          <w:sz w:val="24"/>
          <w:szCs w:val="24"/>
          <w:lang w:eastAsia="ru-RU"/>
        </w:rPr>
        <w:t>7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14:paraId="6E7FDF03" w14:textId="77777777"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14:paraId="3A9B5CD1" w14:textId="77777777"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lastRenderedPageBreak/>
        <w:t xml:space="preserve">перечня кодов и наименований целевых статей расходов 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602CE9">
        <w:rPr>
          <w:rFonts w:ascii="Times New Roman" w:hAnsi="Times New Roman" w:cs="Times New Roman"/>
          <w:sz w:val="24"/>
          <w:szCs w:val="24"/>
        </w:rPr>
        <w:t>олнении районного бюджета на 202</w:t>
      </w:r>
      <w:r w:rsidR="00FE362F">
        <w:rPr>
          <w:rFonts w:ascii="Times New Roman" w:hAnsi="Times New Roman" w:cs="Times New Roman"/>
          <w:sz w:val="24"/>
          <w:szCs w:val="24"/>
        </w:rPr>
        <w:t>4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E362F">
        <w:rPr>
          <w:rFonts w:ascii="Times New Roman" w:hAnsi="Times New Roman" w:cs="Times New Roman"/>
          <w:sz w:val="24"/>
          <w:szCs w:val="24"/>
        </w:rPr>
        <w:t>5</w:t>
      </w:r>
      <w:r w:rsidRPr="003C19A5">
        <w:rPr>
          <w:rFonts w:ascii="Times New Roman" w:hAnsi="Times New Roman" w:cs="Times New Roman"/>
          <w:sz w:val="24"/>
          <w:szCs w:val="24"/>
        </w:rPr>
        <w:t xml:space="preserve"> и 202</w:t>
      </w:r>
      <w:r w:rsidR="00FE362F">
        <w:rPr>
          <w:rFonts w:ascii="Times New Roman" w:hAnsi="Times New Roman" w:cs="Times New Roman"/>
          <w:sz w:val="24"/>
          <w:szCs w:val="24"/>
        </w:rPr>
        <w:t>6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14:paraId="754498F6" w14:textId="77777777"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602CE9">
        <w:rPr>
          <w:sz w:val="24"/>
          <w:szCs w:val="24"/>
          <w:lang w:eastAsia="ru-RU"/>
        </w:rPr>
        <w:t>ений расходов, применяемых в 202</w:t>
      </w:r>
      <w:r w:rsidR="00E671C4">
        <w:rPr>
          <w:sz w:val="24"/>
          <w:szCs w:val="24"/>
          <w:lang w:eastAsia="ru-RU"/>
        </w:rPr>
        <w:t>4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E671C4">
        <w:rPr>
          <w:sz w:val="24"/>
          <w:szCs w:val="24"/>
          <w:lang w:eastAsia="ru-RU"/>
        </w:rPr>
        <w:t>6</w:t>
      </w:r>
      <w:r w:rsidRPr="00B8389E">
        <w:rPr>
          <w:sz w:val="24"/>
          <w:szCs w:val="24"/>
          <w:lang w:eastAsia="ru-RU"/>
        </w:rPr>
        <w:t xml:space="preserve"> годах;</w:t>
      </w:r>
    </w:p>
    <w:p w14:paraId="63AD09CE" w14:textId="77777777"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14:paraId="005E082B" w14:textId="77777777"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14:paraId="326C156A" w14:textId="77777777"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E671C4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E671C4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и 202</w:t>
      </w:r>
      <w:r w:rsidR="00E671C4">
        <w:rPr>
          <w:sz w:val="24"/>
          <w:szCs w:val="24"/>
          <w:lang w:eastAsia="ru-RU"/>
        </w:rPr>
        <w:t>7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14:paraId="777E5B66" w14:textId="77777777"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E671C4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14:paraId="458542C1" w14:textId="77777777"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3C19A5">
        <w:rPr>
          <w:b/>
          <w:sz w:val="24"/>
          <w:szCs w:val="24"/>
        </w:rPr>
        <w:t>Толстинского сельского 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E671C4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E671C4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и 202</w:t>
      </w:r>
      <w:r w:rsidR="00E671C4">
        <w:rPr>
          <w:b/>
          <w:sz w:val="24"/>
          <w:szCs w:val="24"/>
        </w:rPr>
        <w:t>7</w:t>
      </w:r>
      <w:r w:rsidRPr="00B8389E">
        <w:rPr>
          <w:b/>
          <w:sz w:val="24"/>
          <w:szCs w:val="24"/>
        </w:rPr>
        <w:t xml:space="preserve"> годов»</w:t>
      </w:r>
    </w:p>
    <w:p w14:paraId="245EB2C4" w14:textId="77777777"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E671C4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14:paraId="5FFCDC12" w14:textId="77777777"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E671C4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14:paraId="02939AB3" w14:textId="77777777"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E671C4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E671C4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годов»;</w:t>
      </w:r>
    </w:p>
    <w:p w14:paraId="73A277AD" w14:textId="77777777"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521CBD">
        <w:rPr>
          <w:sz w:val="24"/>
          <w:szCs w:val="24"/>
        </w:rPr>
        <w:t>Толстинского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E671C4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E671C4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 w15:restartNumberingAfterBreak="0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4006005">
    <w:abstractNumId w:val="2"/>
  </w:num>
  <w:num w:numId="2" w16cid:durableId="1692368268">
    <w:abstractNumId w:val="0"/>
  </w:num>
  <w:num w:numId="3" w16cid:durableId="104008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DA3"/>
    <w:rsid w:val="00060FD1"/>
    <w:rsid w:val="00071112"/>
    <w:rsid w:val="0007118F"/>
    <w:rsid w:val="00073DDF"/>
    <w:rsid w:val="000E7AA6"/>
    <w:rsid w:val="00111786"/>
    <w:rsid w:val="00156ED2"/>
    <w:rsid w:val="00162FEF"/>
    <w:rsid w:val="0016386D"/>
    <w:rsid w:val="00163F6C"/>
    <w:rsid w:val="001D35F9"/>
    <w:rsid w:val="001E05B8"/>
    <w:rsid w:val="001F0C14"/>
    <w:rsid w:val="00204BA9"/>
    <w:rsid w:val="0026154D"/>
    <w:rsid w:val="002C7BFD"/>
    <w:rsid w:val="002D22CF"/>
    <w:rsid w:val="002D3DA3"/>
    <w:rsid w:val="002E475F"/>
    <w:rsid w:val="002F7093"/>
    <w:rsid w:val="003052F0"/>
    <w:rsid w:val="00312E11"/>
    <w:rsid w:val="0031669D"/>
    <w:rsid w:val="003452E8"/>
    <w:rsid w:val="003A35F1"/>
    <w:rsid w:val="003C073F"/>
    <w:rsid w:val="003C19A5"/>
    <w:rsid w:val="003D2F5C"/>
    <w:rsid w:val="003F2F63"/>
    <w:rsid w:val="00434559"/>
    <w:rsid w:val="00440345"/>
    <w:rsid w:val="00484DD4"/>
    <w:rsid w:val="00496707"/>
    <w:rsid w:val="004D09B0"/>
    <w:rsid w:val="00502D05"/>
    <w:rsid w:val="00521CBD"/>
    <w:rsid w:val="005348EA"/>
    <w:rsid w:val="005363B4"/>
    <w:rsid w:val="00595FBD"/>
    <w:rsid w:val="005D007C"/>
    <w:rsid w:val="005D1A61"/>
    <w:rsid w:val="005E0704"/>
    <w:rsid w:val="005F00B4"/>
    <w:rsid w:val="005F5765"/>
    <w:rsid w:val="005F615A"/>
    <w:rsid w:val="00602CE9"/>
    <w:rsid w:val="00613CF1"/>
    <w:rsid w:val="0064541B"/>
    <w:rsid w:val="006C11FC"/>
    <w:rsid w:val="006D666F"/>
    <w:rsid w:val="006E0D56"/>
    <w:rsid w:val="006E75CA"/>
    <w:rsid w:val="007428B0"/>
    <w:rsid w:val="007548EC"/>
    <w:rsid w:val="00777D30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A0625"/>
    <w:rsid w:val="00AB15EF"/>
    <w:rsid w:val="00AC0203"/>
    <w:rsid w:val="00B27EB1"/>
    <w:rsid w:val="00B311D7"/>
    <w:rsid w:val="00B313E8"/>
    <w:rsid w:val="00B31B7D"/>
    <w:rsid w:val="00BC0160"/>
    <w:rsid w:val="00BC26B8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671C4"/>
    <w:rsid w:val="00E91E9D"/>
    <w:rsid w:val="00F20E86"/>
    <w:rsid w:val="00F27DEE"/>
    <w:rsid w:val="00F45678"/>
    <w:rsid w:val="00F547EC"/>
    <w:rsid w:val="00F600B3"/>
    <w:rsid w:val="00F85F0B"/>
    <w:rsid w:val="00FA7885"/>
    <w:rsid w:val="00FC5060"/>
    <w:rsid w:val="00FD279F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8EB6"/>
  <w15:docId w15:val="{750F87BA-1DFC-4B99-941D-09E3C71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F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102</cp:revision>
  <cp:lastPrinted>2024-09-02T11:52:00Z</cp:lastPrinted>
  <dcterms:created xsi:type="dcterms:W3CDTF">2018-05-22T06:40:00Z</dcterms:created>
  <dcterms:modified xsi:type="dcterms:W3CDTF">2024-09-09T05:04:00Z</dcterms:modified>
</cp:coreProperties>
</file>