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20"/>
          <w:tab w:val="left" w:pos="0" w:leader="none"/>
        </w:tabs>
        <w:spacing w:before="240" w:after="120"/>
        <w:ind w:left="0" w:hanging="0"/>
        <w:rPr>
          <w:rStyle w:val="Style10"/>
          <w:b w:val="false"/>
          <w:b w:val="false"/>
          <w:sz w:val="28"/>
          <w:szCs w:val="28"/>
        </w:rPr>
      </w:pPr>
      <w:r>
        <w:rPr/>
        <w:drawing>
          <wp:anchor behindDoc="0" distT="0" distB="0" distL="0" distR="0" simplePos="0" locked="0" layoutInCell="1" allowOverlap="1" relativeHeight="2">
            <wp:simplePos x="0" y="0"/>
            <wp:positionH relativeFrom="margin">
              <wp:align>center</wp:align>
            </wp:positionH>
            <wp:positionV relativeFrom="margin">
              <wp:posOffset>-168275</wp:posOffset>
            </wp:positionV>
            <wp:extent cx="600075" cy="71437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600075" cy="714375"/>
                    </a:xfrm>
                    <a:prstGeom prst="rect">
                      <a:avLst/>
                    </a:prstGeom>
                  </pic:spPr>
                </pic:pic>
              </a:graphicData>
            </a:graphic>
          </wp:anchor>
        </w:drawing>
      </w:r>
    </w:p>
    <w:tbl>
      <w:tblPr>
        <w:tblW w:w="5000" w:type="pct"/>
        <w:jc w:val="left"/>
        <w:tblInd w:w="0" w:type="dxa"/>
        <w:tblCellMar>
          <w:top w:w="0" w:type="dxa"/>
          <w:left w:w="108" w:type="dxa"/>
          <w:bottom w:w="0" w:type="dxa"/>
          <w:right w:w="108" w:type="dxa"/>
        </w:tblCellMar>
      </w:tblPr>
      <w:tblGrid>
        <w:gridCol w:w="9638"/>
      </w:tblGrid>
      <w:tr>
        <w:trPr/>
        <w:tc>
          <w:tcPr>
            <w:tcW w:w="9638" w:type="dxa"/>
            <w:tcBorders>
              <w:bottom w:val="double" w:sz="12" w:space="0" w:color="000000"/>
            </w:tcBorders>
            <w:shd w:fill="auto" w:val="clear"/>
          </w:tcPr>
          <w:p>
            <w:pPr>
              <w:pStyle w:val="ConsPlusNonformat"/>
              <w:widowControl/>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nformat"/>
              <w:widowControl/>
              <w:jc w:val="center"/>
              <w:rPr>
                <w:rFonts w:ascii="Times New Roman" w:hAnsi="Times New Roman" w:cs="Times New Roman"/>
                <w:color w:val="000000"/>
                <w:sz w:val="26"/>
                <w:szCs w:val="26"/>
              </w:rPr>
            </w:pPr>
            <w:r>
              <w:rPr>
                <w:rFonts w:cs="Times New Roman" w:ascii="Times New Roman" w:hAnsi="Times New Roman"/>
                <w:color w:val="000000"/>
                <w:sz w:val="26"/>
                <w:szCs w:val="26"/>
              </w:rPr>
              <w:t>АДМИНИСТРАЦИЯ</w:t>
            </w:r>
          </w:p>
          <w:p>
            <w:pPr>
              <w:pStyle w:val="ConsPlusNonformat"/>
              <w:widowControl/>
              <w:jc w:val="center"/>
              <w:rPr>
                <w:rFonts w:ascii="Times New Roman" w:hAnsi="Times New Roman" w:cs="Times New Roman"/>
                <w:color w:val="000000"/>
                <w:sz w:val="26"/>
                <w:szCs w:val="26"/>
              </w:rPr>
            </w:pPr>
            <w:r>
              <w:rPr>
                <w:rFonts w:cs="Times New Roman" w:ascii="Times New Roman" w:hAnsi="Times New Roman"/>
                <w:color w:val="000000"/>
                <w:sz w:val="26"/>
                <w:szCs w:val="26"/>
              </w:rPr>
              <w:t>ВАРНЕНСКОГО МУНИЦИПАЛЬНОГО ОКРУГА</w:t>
            </w:r>
          </w:p>
          <w:p>
            <w:pPr>
              <w:pStyle w:val="ConsPlusNonformat"/>
              <w:widowControl/>
              <w:jc w:val="center"/>
              <w:rPr>
                <w:rFonts w:ascii="Times New Roman" w:hAnsi="Times New Roman" w:cs="Times New Roman"/>
                <w:color w:val="000000"/>
                <w:sz w:val="26"/>
                <w:szCs w:val="26"/>
              </w:rPr>
            </w:pPr>
            <w:r>
              <w:rPr>
                <w:rFonts w:cs="Times New Roman" w:ascii="Times New Roman" w:hAnsi="Times New Roman"/>
                <w:color w:val="000000"/>
                <w:sz w:val="26"/>
                <w:szCs w:val="26"/>
              </w:rPr>
              <w:t>ЧЕЛЯБИНСКОЙ ОБЛАСТИ</w:t>
            </w:r>
          </w:p>
          <w:p>
            <w:pPr>
              <w:pStyle w:val="ConsPlusNonformat"/>
              <w:widowControl/>
              <w:jc w:val="center"/>
              <w:rPr>
                <w:rFonts w:ascii="Times New Roman" w:hAnsi="Times New Roman" w:cs="Times New Roman"/>
                <w:b/>
                <w:b/>
                <w:color w:val="000000"/>
                <w:sz w:val="10"/>
                <w:szCs w:val="10"/>
              </w:rPr>
            </w:pPr>
            <w:r>
              <w:rPr>
                <w:rFonts w:cs="Times New Roman" w:ascii="Times New Roman" w:hAnsi="Times New Roman"/>
                <w:b/>
                <w:color w:val="000000"/>
                <w:sz w:val="10"/>
                <w:szCs w:val="10"/>
              </w:rPr>
            </w:r>
          </w:p>
          <w:p>
            <w:pPr>
              <w:pStyle w:val="ConsPlusNonformat"/>
              <w:widowControl/>
              <w:jc w:val="center"/>
              <w:rPr/>
            </w:pPr>
            <w:r>
              <w:rPr>
                <w:rStyle w:val="Style10"/>
                <w:rFonts w:cs="Times New Roman" w:ascii="Times New Roman" w:hAnsi="Times New Roman"/>
                <w:b/>
                <w:color w:val="000000"/>
                <w:sz w:val="26"/>
                <w:szCs w:val="26"/>
              </w:rPr>
              <w:t>ПОСТАНОВЛЕНИЕ</w:t>
            </w:r>
          </w:p>
        </w:tc>
      </w:tr>
    </w:tbl>
    <w:p>
      <w:pPr>
        <w:pStyle w:val="ConsPlusNonformat"/>
        <w:widowContro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widowControl/>
        <w:rPr>
          <w:rStyle w:val="Style10"/>
          <w:rFonts w:ascii="Times New Roman" w:hAnsi="Times New Roman" w:cs="Times New Roman"/>
          <w:color w:val="000000"/>
          <w:sz w:val="24"/>
          <w:szCs w:val="24"/>
        </w:rPr>
      </w:pPr>
      <w:r>
        <w:rPr/>
      </w:r>
      <w:r>
        <mc:AlternateContent>
          <mc:Choice Requires="wps">
            <w:drawing>
              <wp:anchor behindDoc="0" distT="0" distB="0" distL="0" distR="0" simplePos="0" locked="0" layoutInCell="1" allowOverlap="1" relativeHeight="3">
                <wp:simplePos x="0" y="0"/>
                <wp:positionH relativeFrom="margin">
                  <wp:posOffset>-69215</wp:posOffset>
                </wp:positionH>
                <wp:positionV relativeFrom="paragraph">
                  <wp:posOffset>34925</wp:posOffset>
                </wp:positionV>
                <wp:extent cx="1630680" cy="350520"/>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630680" cy="350520"/>
                        </a:xfrm>
                        <a:prstGeom prst="rect"/>
                      </wps:spPr>
                      <wps:txbx>
                        <w:txbxContent>
                          <w:tbl>
                            <w:tblPr>
                              <w:tblW w:w="5000" w:type="pct"/>
                              <w:jc w:val="left"/>
                              <w:tblInd w:w="108" w:type="dxa"/>
                              <w:tblCellMar>
                                <w:top w:w="0" w:type="dxa"/>
                                <w:left w:w="108" w:type="dxa"/>
                                <w:bottom w:w="0" w:type="dxa"/>
                                <w:right w:w="108" w:type="dxa"/>
                              </w:tblCellMar>
                            </w:tblPr>
                            <w:tblGrid>
                              <w:gridCol w:w="2568"/>
                            </w:tblGrid>
                            <w:tr>
                              <w:trPr>
                                <w:trHeight w:val="268" w:hRule="atLeast"/>
                              </w:trPr>
                              <w:tc>
                                <w:tcPr>
                                  <w:tcW w:w="2568" w:type="dxa"/>
                                  <w:tcBorders/>
                                  <w:shd w:fill="auto" w:val="clear"/>
                                </w:tcPr>
                                <w:p>
                                  <w:pPr>
                                    <w:pStyle w:val="ConsPlusNonformat"/>
                                    <w:widowControl/>
                                    <w:rPr/>
                                  </w:pPr>
                                  <w:r>
                                    <w:rPr>
                                      <w:rStyle w:val="Style10"/>
                                      <w:rFonts w:cs="Times New Roman" w:ascii="Times New Roman" w:hAnsi="Times New Roman"/>
                                      <w:sz w:val="24"/>
                                      <w:szCs w:val="24"/>
                                    </w:rPr>
                                    <w:t xml:space="preserve">от </w:t>
                                  </w:r>
                                  <w:r>
                                    <w:rPr>
                                      <w:rStyle w:val="Style10"/>
                                      <w:rFonts w:cs="Times New Roman" w:ascii="Times New Roman" w:hAnsi="Times New Roman"/>
                                      <w:sz w:val="24"/>
                                      <w:szCs w:val="24"/>
                                      <w:u w:val="single"/>
                                    </w:rPr>
                                    <w:t>22.05.2026</w:t>
                                  </w:r>
                                  <w:r>
                                    <w:rPr>
                                      <w:rStyle w:val="Style10"/>
                                      <w:rFonts w:cs="Times New Roman" w:ascii="Times New Roman" w:hAnsi="Times New Roman"/>
                                      <w:sz w:val="24"/>
                                      <w:szCs w:val="24"/>
                                    </w:rPr>
                                    <w:t xml:space="preserve"> № </w:t>
                                  </w:r>
                                  <w:r>
                                    <w:rPr>
                                      <w:rStyle w:val="Style10"/>
                                      <w:rFonts w:cs="Times New Roman" w:ascii="Times New Roman" w:hAnsi="Times New Roman"/>
                                      <w:sz w:val="24"/>
                                      <w:szCs w:val="24"/>
                                      <w:u w:val="single"/>
                                    </w:rPr>
                                    <w:t>366</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 Варна</w:t>
                                  </w:r>
                                </w:p>
                              </w:tc>
                            </w:tr>
                          </w:tbl>
                          <w:p>
                            <w:pPr>
                              <w:pStyle w:val="Style19"/>
                              <w:rPr/>
                            </w:pPr>
                            <w:r>
                              <w:rPr/>
                            </w:r>
                          </w:p>
                        </w:txbxContent>
                      </wps:txbx>
                      <wps:bodyPr anchor="t" lIns="0" tIns="0" rIns="0" bIns="0">
                        <a:noAutofit/>
                      </wps:bodyPr>
                    </wps:wsp>
                  </a:graphicData>
                </a:graphic>
              </wp:anchor>
            </w:drawing>
          </mc:Choice>
          <mc:Fallback>
            <w:pict>
              <v:rect style="position:absolute;rotation:0;width:128.4pt;height:27.6pt;mso-wrap-distance-left:0pt;mso-wrap-distance-right:0pt;mso-wrap-distance-top:0pt;mso-wrap-distance-bottom:0pt;margin-top:2.75pt;mso-position-vertical-relative:text;margin-left:-5.45pt;mso-position-horizontal-relative:margin">
                <v:textbox inset="0in,0in,0in,0in">
                  <w:txbxContent>
                    <w:tbl>
                      <w:tblPr>
                        <w:tblW w:w="5000" w:type="pct"/>
                        <w:jc w:val="left"/>
                        <w:tblInd w:w="108" w:type="dxa"/>
                        <w:tblCellMar>
                          <w:top w:w="0" w:type="dxa"/>
                          <w:left w:w="108" w:type="dxa"/>
                          <w:bottom w:w="0" w:type="dxa"/>
                          <w:right w:w="108" w:type="dxa"/>
                        </w:tblCellMar>
                      </w:tblPr>
                      <w:tblGrid>
                        <w:gridCol w:w="2568"/>
                      </w:tblGrid>
                      <w:tr>
                        <w:trPr>
                          <w:trHeight w:val="268" w:hRule="atLeast"/>
                        </w:trPr>
                        <w:tc>
                          <w:tcPr>
                            <w:tcW w:w="2568" w:type="dxa"/>
                            <w:tcBorders/>
                            <w:shd w:fill="auto" w:val="clear"/>
                          </w:tcPr>
                          <w:p>
                            <w:pPr>
                              <w:pStyle w:val="ConsPlusNonformat"/>
                              <w:widowControl/>
                              <w:rPr/>
                            </w:pPr>
                            <w:r>
                              <w:rPr>
                                <w:rStyle w:val="Style10"/>
                                <w:rFonts w:cs="Times New Roman" w:ascii="Times New Roman" w:hAnsi="Times New Roman"/>
                                <w:sz w:val="24"/>
                                <w:szCs w:val="24"/>
                              </w:rPr>
                              <w:t xml:space="preserve">от </w:t>
                            </w:r>
                            <w:r>
                              <w:rPr>
                                <w:rStyle w:val="Style10"/>
                                <w:rFonts w:cs="Times New Roman" w:ascii="Times New Roman" w:hAnsi="Times New Roman"/>
                                <w:sz w:val="24"/>
                                <w:szCs w:val="24"/>
                                <w:u w:val="single"/>
                              </w:rPr>
                              <w:t>22.05.2026</w:t>
                            </w:r>
                            <w:r>
                              <w:rPr>
                                <w:rStyle w:val="Style10"/>
                                <w:rFonts w:cs="Times New Roman" w:ascii="Times New Roman" w:hAnsi="Times New Roman"/>
                                <w:sz w:val="24"/>
                                <w:szCs w:val="24"/>
                              </w:rPr>
                              <w:t xml:space="preserve"> № </w:t>
                            </w:r>
                            <w:r>
                              <w:rPr>
                                <w:rStyle w:val="Style10"/>
                                <w:rFonts w:cs="Times New Roman" w:ascii="Times New Roman" w:hAnsi="Times New Roman"/>
                                <w:sz w:val="24"/>
                                <w:szCs w:val="24"/>
                                <w:u w:val="single"/>
                              </w:rPr>
                              <w:t>366</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 Варна</w:t>
                            </w:r>
                          </w:p>
                        </w:tc>
                      </w:tr>
                    </w:tbl>
                    <w:p>
                      <w:pPr>
                        <w:pStyle w:val="Style19"/>
                        <w:rPr/>
                      </w:pPr>
                      <w:r>
                        <w:rPr/>
                      </w:r>
                    </w:p>
                  </w:txbxContent>
                </v:textbox>
                <w10:wrap type="square"/>
              </v:rect>
            </w:pict>
          </mc:Fallback>
        </mc:AlternateContent>
      </w:r>
    </w:p>
    <w:p>
      <w:pPr>
        <w:pStyle w:val="1"/>
        <w:tabs>
          <w:tab w:val="clear" w:pos="720"/>
          <w:tab w:val="left" w:pos="0" w:leader="none"/>
        </w:tabs>
        <w:ind w:left="0" w:hanging="0"/>
        <w:rPr/>
      </w:pPr>
      <w:r>
        <w:rPr/>
      </w:r>
    </w:p>
    <w:p>
      <w:pPr>
        <w:pStyle w:val="1"/>
        <w:tabs>
          <w:tab w:val="clear" w:pos="720"/>
          <w:tab w:val="left" w:pos="0" w:leader="none"/>
        </w:tabs>
        <w:ind w:left="0" w:hanging="0"/>
        <w:rPr>
          <w:rStyle w:val="Style10"/>
          <w:rFonts w:cs="Times New Roman"/>
          <w:color w:val="000000"/>
          <w:szCs w:val="24"/>
        </w:rPr>
      </w:pPr>
      <w:r>
        <w:rPr/>
      </w:r>
      <w:r>
        <mc:AlternateContent>
          <mc:Choice Requires="wps">
            <w:drawing>
              <wp:anchor behindDoc="0" distT="0" distB="0" distL="0" distR="0" simplePos="0" locked="0" layoutInCell="1" allowOverlap="1" relativeHeight="4">
                <wp:simplePos x="0" y="0"/>
                <wp:positionH relativeFrom="margin">
                  <wp:align>left</wp:align>
                </wp:positionH>
                <wp:positionV relativeFrom="paragraph">
                  <wp:posOffset>85090</wp:posOffset>
                </wp:positionV>
                <wp:extent cx="3063240" cy="1516380"/>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3063240" cy="1516380"/>
                        </a:xfrm>
                        <a:prstGeom prst="rect"/>
                      </wps:spPr>
                      <wps:txbx>
                        <w:txbxContent>
                          <w:tbl>
                            <w:tblPr>
                              <w:tblW w:w="5000" w:type="pct"/>
                              <w:jc w:val="left"/>
                              <w:tblInd w:w="0" w:type="dxa"/>
                              <w:tblCellMar>
                                <w:top w:w="0" w:type="dxa"/>
                                <w:left w:w="108" w:type="dxa"/>
                                <w:bottom w:w="0" w:type="dxa"/>
                                <w:right w:w="108" w:type="dxa"/>
                              </w:tblCellMar>
                            </w:tblPr>
                            <w:tblGrid>
                              <w:gridCol w:w="4824"/>
                            </w:tblGrid>
                            <w:tr>
                              <w:trPr>
                                <w:trHeight w:val="282" w:hRule="atLeast"/>
                              </w:trPr>
                              <w:tc>
                                <w:tcPr>
                                  <w:tcW w:w="4824" w:type="dxa"/>
                                  <w:tcBorders/>
                                  <w:shd w:fill="auto" w:val="clear"/>
                                </w:tcPr>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Об утверждения Положения о представлении гражданами, претендующими на замещение должностей муниципальной службы, и муниципальными служащими Администрации Варненского муниципального округа сведений о доходах, расходах, об имуществе и обязательствах имущественного характера в новой редакции</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tc>
                            </w:tr>
                          </w:tbl>
                          <w:p>
                            <w:pPr>
                              <w:pStyle w:val="Style19"/>
                              <w:rPr/>
                            </w:pPr>
                            <w:r>
                              <w:rPr/>
                            </w:r>
                          </w:p>
                        </w:txbxContent>
                      </wps:txbx>
                      <wps:bodyPr anchor="t" lIns="0" tIns="0" rIns="0" bIns="0">
                        <a:noAutofit/>
                      </wps:bodyPr>
                    </wps:wsp>
                  </a:graphicData>
                </a:graphic>
              </wp:anchor>
            </w:drawing>
          </mc:Choice>
          <mc:Fallback>
            <w:pict>
              <v:rect style="position:absolute;rotation:0;width:241.2pt;height:119.4pt;mso-wrap-distance-left:0pt;mso-wrap-distance-right:0pt;mso-wrap-distance-top:0pt;mso-wrap-distance-bottom:0pt;margin-top:6.7pt;mso-position-vertical-relative:text;margin-left:0pt;mso-position-horizontal:left;mso-position-horizontal-relative:margin">
                <v:textbox inset="0in,0in,0in,0in">
                  <w:txbxContent>
                    <w:tbl>
                      <w:tblPr>
                        <w:tblW w:w="5000" w:type="pct"/>
                        <w:jc w:val="left"/>
                        <w:tblInd w:w="0" w:type="dxa"/>
                        <w:tblCellMar>
                          <w:top w:w="0" w:type="dxa"/>
                          <w:left w:w="108" w:type="dxa"/>
                          <w:bottom w:w="0" w:type="dxa"/>
                          <w:right w:w="108" w:type="dxa"/>
                        </w:tblCellMar>
                      </w:tblPr>
                      <w:tblGrid>
                        <w:gridCol w:w="4824"/>
                      </w:tblGrid>
                      <w:tr>
                        <w:trPr>
                          <w:trHeight w:val="282" w:hRule="atLeast"/>
                        </w:trPr>
                        <w:tc>
                          <w:tcPr>
                            <w:tcW w:w="4824" w:type="dxa"/>
                            <w:tcBorders/>
                            <w:shd w:fill="auto" w:val="clear"/>
                          </w:tcPr>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Об утверждения Положения о представлении гражданами, претендующими на замещение должностей муниципальной службы, и муниципальными служащими Администрации Варненского муниципального округа сведений о доходах, расходах, об имуществе и обязательствах имущественного характера в новой редакции</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tc>
                      </w:tr>
                    </w:tbl>
                    <w:p>
                      <w:pPr>
                        <w:pStyle w:val="Style19"/>
                        <w:rPr/>
                      </w:pPr>
                      <w:r>
                        <w:rPr/>
                      </w:r>
                    </w:p>
                  </w:txbxContent>
                </v:textbox>
                <w10:wrap type="square"/>
              </v:rect>
            </w:pict>
          </mc:Fallback>
        </mc:AlternateContent>
      </w:r>
    </w:p>
    <w:p>
      <w:pPr>
        <w:pStyle w:val="1"/>
        <w:tabs>
          <w:tab w:val="clear" w:pos="720"/>
          <w:tab w:val="left" w:pos="0" w:leader="none"/>
        </w:tabs>
        <w:ind w:left="0" w:hanging="0"/>
        <w:rPr/>
      </w:pPr>
      <w:r>
        <w:rPr/>
      </w:r>
    </w:p>
    <w:p>
      <w:pPr>
        <w:pStyle w:val="1"/>
        <w:tabs>
          <w:tab w:val="clear" w:pos="720"/>
          <w:tab w:val="left" w:pos="0" w:leader="none"/>
        </w:tabs>
        <w:ind w:left="0" w:hanging="0"/>
        <w:rPr/>
      </w:pPr>
      <w:r>
        <w:rPr/>
      </w:r>
      <w:bookmarkStart w:id="0" w:name="anchor0"/>
      <w:bookmarkStart w:id="1" w:name="anchor0"/>
      <w:bookmarkEnd w:id="1"/>
    </w:p>
    <w:p>
      <w:pPr>
        <w:pStyle w:val="1"/>
        <w:tabs>
          <w:tab w:val="clear" w:pos="720"/>
          <w:tab w:val="left" w:pos="0" w:leader="none"/>
        </w:tabs>
        <w:ind w:left="0" w:hanging="0"/>
        <w:rPr/>
      </w:pPr>
      <w:r>
        <w:rPr/>
      </w:r>
    </w:p>
    <w:p>
      <w:pPr>
        <w:pStyle w:val="1"/>
        <w:tabs>
          <w:tab w:val="clear" w:pos="720"/>
          <w:tab w:val="left" w:pos="0" w:leader="none"/>
        </w:tabs>
        <w:ind w:left="0" w:hanging="0"/>
        <w:rPr/>
      </w:pPr>
      <w:r>
        <w:rPr/>
      </w:r>
    </w:p>
    <w:p>
      <w:pPr>
        <w:pStyle w:val="Style20"/>
        <w:rPr/>
      </w:pPr>
      <w:r>
        <w:rPr/>
      </w:r>
    </w:p>
    <w:p>
      <w:pPr>
        <w:pStyle w:val="Style20"/>
        <w:rPr/>
      </w:pPr>
      <w:r>
        <w:rPr>
          <w:rStyle w:val="Style10"/>
          <w:sz w:val="26"/>
          <w:szCs w:val="26"/>
        </w:rPr>
        <w:t xml:space="preserve">В соответствии с </w:t>
      </w:r>
      <w:hyperlink r:id="rId3" w:tgtFrame="_top">
        <w:r>
          <w:rPr>
            <w:rStyle w:val="Style10"/>
            <w:sz w:val="26"/>
            <w:szCs w:val="26"/>
          </w:rPr>
          <w:t>Федеральным законом</w:t>
        </w:r>
      </w:hyperlink>
      <w:r>
        <w:rPr>
          <w:rStyle w:val="Style10"/>
          <w:sz w:val="26"/>
          <w:szCs w:val="26"/>
        </w:rPr>
        <w:t xml:space="preserve"> от 25.12.2008 № 273-ФЗ «О противодействии коррупции», </w:t>
      </w:r>
      <w:hyperlink r:id="rId4" w:tgtFrame="_top">
        <w:r>
          <w:rPr>
            <w:rStyle w:val="Style10"/>
            <w:sz w:val="26"/>
            <w:szCs w:val="26"/>
          </w:rPr>
          <w:t>Федеральным законом</w:t>
        </w:r>
      </w:hyperlink>
      <w:r>
        <w:rPr>
          <w:rStyle w:val="Style10"/>
          <w:sz w:val="26"/>
          <w:szCs w:val="26"/>
        </w:rPr>
        <w:t xml:space="preserve"> от 02.03.2007 № 25-ФЗ «О муниципальной службе в Российской Федерации», </w:t>
      </w:r>
      <w:r>
        <w:rPr>
          <w:rStyle w:val="Style10"/>
          <w:color w:val="000000"/>
          <w:sz w:val="26"/>
          <w:szCs w:val="26"/>
        </w:rPr>
        <w:t>Федеральным законом от 03.12.2012 № 230-ФЗ «О контроле за соответствием расходов лиц, замещающих государственные должности, и иных лиц их доходам»</w:t>
      </w:r>
      <w:r>
        <w:rPr>
          <w:rStyle w:val="Style10"/>
          <w:sz w:val="26"/>
          <w:szCs w:val="26"/>
        </w:rPr>
        <w:t xml:space="preserve">, </w:t>
      </w:r>
    </w:p>
    <w:p>
      <w:pPr>
        <w:pStyle w:val="Style20"/>
        <w:rPr>
          <w:sz w:val="26"/>
          <w:szCs w:val="26"/>
        </w:rPr>
      </w:pPr>
      <w:r>
        <w:rPr>
          <w:sz w:val="26"/>
          <w:szCs w:val="26"/>
        </w:rPr>
        <w:t>Администрация Варненского муниципального округа Челябинской области ПОСТАНОВЛЯЕТ:</w:t>
      </w:r>
    </w:p>
    <w:p>
      <w:pPr>
        <w:pStyle w:val="Style20"/>
        <w:rPr/>
      </w:pPr>
      <w:bookmarkStart w:id="2" w:name="anchor1023"/>
      <w:bookmarkEnd w:id="2"/>
      <w:r>
        <w:rPr>
          <w:rStyle w:val="Style10"/>
          <w:sz w:val="26"/>
          <w:szCs w:val="26"/>
        </w:rPr>
        <w:t xml:space="preserve">1. Утвердить прилагаемое </w:t>
      </w:r>
      <w:hyperlink w:anchor="anchor1000" w:tgtFrame="_top">
        <w:r>
          <w:rPr>
            <w:rStyle w:val="Style10"/>
            <w:sz w:val="26"/>
            <w:szCs w:val="26"/>
          </w:rPr>
          <w:t>Положение</w:t>
        </w:r>
      </w:hyperlink>
      <w:r>
        <w:rPr>
          <w:rStyle w:val="Style10"/>
          <w:sz w:val="26"/>
          <w:szCs w:val="26"/>
        </w:rPr>
        <w:t xml:space="preserve"> о представлении гражданами, претендующими на замещение должностей муниципальной службы, и муниципальными служащими Администрации Варненского муниципального округа Челябинской области сведений о доходах, расходах, об имуществе и обязательствах имущественного характера в новой редакции.</w:t>
      </w:r>
    </w:p>
    <w:p>
      <w:pPr>
        <w:pStyle w:val="Style20"/>
        <w:rPr/>
      </w:pPr>
      <w:bookmarkStart w:id="3" w:name="anchor1024"/>
      <w:bookmarkEnd w:id="3"/>
      <w:r>
        <w:rPr>
          <w:rStyle w:val="Style10"/>
          <w:sz w:val="26"/>
          <w:szCs w:val="26"/>
        </w:rPr>
        <w:t xml:space="preserve">2. </w:t>
      </w:r>
      <w:r>
        <w:rPr>
          <w:rStyle w:val="Style10"/>
          <w:color w:val="000000"/>
          <w:sz w:val="26"/>
          <w:szCs w:val="26"/>
        </w:rPr>
        <w:t xml:space="preserve">Постановление Администрации Варненского муниципального округа Челябинской области от 19.02.2026 № 145 «Об утверждении Положения о представлении гражданами, претендующими на замещение должностей муниципальной службы Варненского муниципального округа, и муниципальными служащими Варненского муниципального округаа сведений о доходах, расходах, об имуществе и обязательствах имущественного характера» </w:t>
      </w:r>
      <w:bookmarkStart w:id="4" w:name="anchor1025"/>
      <w:bookmarkEnd w:id="4"/>
      <w:r>
        <w:rPr>
          <w:rStyle w:val="Style10"/>
          <w:color w:val="000000"/>
          <w:sz w:val="26"/>
          <w:szCs w:val="26"/>
        </w:rPr>
        <w:t xml:space="preserve">считать </w:t>
      </w:r>
      <w:r>
        <w:rPr>
          <w:rStyle w:val="Style10"/>
          <w:sz w:val="26"/>
          <w:szCs w:val="26"/>
        </w:rPr>
        <w:t>утратившим силу.</w:t>
      </w:r>
    </w:p>
    <w:p>
      <w:pPr>
        <w:pStyle w:val="Style35"/>
        <w:rPr>
          <w:rFonts w:ascii="Times New Roman" w:hAnsi="Times New Roman" w:cs="Times New Roman"/>
          <w:sz w:val="26"/>
          <w:szCs w:val="26"/>
        </w:rPr>
      </w:pPr>
      <w:r>
        <w:rPr>
          <w:rFonts w:cs="Times New Roman" w:ascii="Times New Roman" w:hAnsi="Times New Roman"/>
          <w:sz w:val="26"/>
          <w:szCs w:val="26"/>
        </w:rPr>
        <w:t xml:space="preserve">3. Отделу инфорамционных технологий и технической защиты информации (Зуев Е.П.) разместить настоящее постановление на официальном сайте Администрации Варненского муниципального округа Челябинской области. </w:t>
      </w:r>
    </w:p>
    <w:p>
      <w:pPr>
        <w:pStyle w:val="Style20"/>
        <w:rPr/>
      </w:pPr>
      <w:bookmarkStart w:id="5" w:name="anchor1030"/>
      <w:bookmarkStart w:id="6" w:name="anchor1028"/>
      <w:bookmarkEnd w:id="5"/>
      <w:bookmarkEnd w:id="6"/>
      <w:r>
        <w:rPr>
          <w:rStyle w:val="Style10"/>
          <w:sz w:val="26"/>
          <w:szCs w:val="26"/>
        </w:rPr>
        <w:t xml:space="preserve">4. Настоящее постановление вступает в силу с момента </w:t>
      </w:r>
      <w:hyperlink r:id="rId5" w:tgtFrame="_top">
        <w:r>
          <w:rPr>
            <w:rStyle w:val="Style10"/>
            <w:sz w:val="26"/>
            <w:szCs w:val="26"/>
          </w:rPr>
          <w:t>его</w:t>
        </w:r>
      </w:hyperlink>
      <w:r>
        <w:rPr>
          <w:rStyle w:val="Style10"/>
          <w:sz w:val="26"/>
          <w:szCs w:val="26"/>
        </w:rPr>
        <w:t xml:space="preserve"> подписания.</w:t>
      </w:r>
    </w:p>
    <w:p>
      <w:pPr>
        <w:pStyle w:val="Style20"/>
        <w:rPr>
          <w:sz w:val="26"/>
          <w:szCs w:val="26"/>
        </w:rPr>
      </w:pPr>
      <w:r>
        <w:rPr>
          <w:sz w:val="26"/>
          <w:szCs w:val="26"/>
        </w:rPr>
      </w:r>
    </w:p>
    <w:p>
      <w:pPr>
        <w:pStyle w:val="Style20"/>
        <w:rPr>
          <w:sz w:val="26"/>
          <w:szCs w:val="26"/>
        </w:rPr>
      </w:pPr>
      <w:r>
        <w:rPr>
          <w:sz w:val="26"/>
          <w:szCs w:val="26"/>
        </w:rPr>
      </w:r>
    </w:p>
    <w:p>
      <w:pPr>
        <w:pStyle w:val="Style19"/>
        <w:rPr>
          <w:color w:val="000000"/>
          <w:sz w:val="26"/>
          <w:szCs w:val="26"/>
        </w:rPr>
      </w:pPr>
      <w:bookmarkStart w:id="7" w:name="anchor1000"/>
      <w:bookmarkEnd w:id="7"/>
      <w:r>
        <w:rPr>
          <w:color w:val="000000"/>
          <w:sz w:val="26"/>
          <w:szCs w:val="26"/>
        </w:rPr>
        <w:t xml:space="preserve">Глава </w:t>
      </w:r>
    </w:p>
    <w:p>
      <w:pPr>
        <w:pStyle w:val="Style19"/>
        <w:rPr>
          <w:color w:val="000000"/>
          <w:sz w:val="26"/>
          <w:szCs w:val="26"/>
        </w:rPr>
      </w:pPr>
      <w:r>
        <w:rPr>
          <w:color w:val="000000"/>
          <w:sz w:val="26"/>
          <w:szCs w:val="26"/>
        </w:rPr>
        <w:t xml:space="preserve">Варненского муниципального округа </w:t>
      </w:r>
    </w:p>
    <w:p>
      <w:pPr>
        <w:pStyle w:val="Style20"/>
        <w:ind w:hanging="0"/>
        <w:rPr/>
      </w:pPr>
      <w:r>
        <w:rPr>
          <w:rStyle w:val="Style10"/>
          <w:color w:val="000000"/>
          <w:sz w:val="26"/>
          <w:szCs w:val="26"/>
        </w:rPr>
        <w:t>Челябинской области                                                                                       Е.А. Парфенов</w:t>
      </w:r>
      <w:r>
        <w:rPr>
          <w:rStyle w:val="Style10"/>
          <w:b/>
          <w:color w:val="26282F"/>
        </w:rPr>
        <w:t xml:space="preserve"> </w:t>
      </w:r>
    </w:p>
    <w:p>
      <w:pPr>
        <w:pStyle w:val="Style20"/>
        <w:ind w:hanging="0"/>
        <w:jc w:val="right"/>
        <w:rPr>
          <w:b/>
          <w:b/>
          <w:color w:val="26282F"/>
        </w:rPr>
      </w:pPr>
      <w:r>
        <w:rPr>
          <w:b/>
          <w:color w:val="26282F"/>
        </w:rPr>
      </w:r>
    </w:p>
    <w:p>
      <w:pPr>
        <w:pStyle w:val="Style20"/>
        <w:ind w:hanging="0"/>
        <w:jc w:val="right"/>
        <w:rPr>
          <w:b/>
          <w:b/>
          <w:color w:val="26282F"/>
        </w:rPr>
      </w:pPr>
      <w:r>
        <w:rPr>
          <w:b/>
          <w:color w:val="26282F"/>
        </w:rPr>
      </w:r>
    </w:p>
    <w:p>
      <w:pPr>
        <w:pStyle w:val="Style20"/>
        <w:ind w:hanging="0"/>
        <w:jc w:val="right"/>
        <w:rPr>
          <w:bCs/>
          <w:color w:val="26282F"/>
        </w:rPr>
      </w:pPr>
      <w:r>
        <w:rPr>
          <w:bCs/>
          <w:color w:val="26282F"/>
        </w:rPr>
        <w:t xml:space="preserve">УТВЕРЖДЕНО </w:t>
      </w:r>
    </w:p>
    <w:p>
      <w:pPr>
        <w:pStyle w:val="Style20"/>
        <w:ind w:hanging="0"/>
        <w:jc w:val="right"/>
        <w:rPr/>
      </w:pPr>
      <w:hyperlink w:anchor="anchor0" w:tgtFrame="_top">
        <w:r>
          <w:rPr>
            <w:rStyle w:val="Style10"/>
            <w:bCs/>
            <w:color w:val="26282F"/>
          </w:rPr>
          <w:t>постановлением</w:t>
        </w:r>
      </w:hyperlink>
      <w:r>
        <w:rPr>
          <w:rStyle w:val="Style10"/>
          <w:bCs/>
          <w:color w:val="26282F"/>
        </w:rPr>
        <w:t xml:space="preserve"> Администрации </w:t>
      </w:r>
    </w:p>
    <w:p>
      <w:pPr>
        <w:pStyle w:val="Style20"/>
        <w:ind w:hanging="0"/>
        <w:jc w:val="right"/>
        <w:rPr>
          <w:bCs/>
          <w:color w:val="26282F"/>
        </w:rPr>
      </w:pPr>
      <w:r>
        <w:rPr>
          <w:bCs/>
          <w:color w:val="26282F"/>
        </w:rPr>
        <w:t xml:space="preserve">Варненского муниципального округа </w:t>
      </w:r>
    </w:p>
    <w:p>
      <w:pPr>
        <w:pStyle w:val="Style20"/>
        <w:ind w:hanging="0"/>
        <w:jc w:val="right"/>
        <w:rPr>
          <w:bCs/>
          <w:color w:val="26282F"/>
        </w:rPr>
      </w:pPr>
      <w:r>
        <w:rPr>
          <w:bCs/>
          <w:color w:val="26282F"/>
        </w:rPr>
        <w:t>Челябинской области</w:t>
      </w:r>
    </w:p>
    <w:p>
      <w:pPr>
        <w:pStyle w:val="Style20"/>
        <w:ind w:hanging="0"/>
        <w:jc w:val="right"/>
        <w:rPr/>
      </w:pPr>
      <w:r>
        <w:rPr>
          <w:rStyle w:val="Style10"/>
          <w:bCs/>
          <w:color w:val="26282F"/>
        </w:rPr>
        <w:t>от 22.05.2026 № 366</w:t>
      </w:r>
    </w:p>
    <w:p>
      <w:pPr>
        <w:pStyle w:val="Style20"/>
        <w:rPr/>
      </w:pPr>
      <w:r>
        <w:rPr/>
      </w:r>
    </w:p>
    <w:p>
      <w:pPr>
        <w:pStyle w:val="1"/>
        <w:tabs>
          <w:tab w:val="clear" w:pos="720"/>
          <w:tab w:val="left" w:pos="0" w:leader="none"/>
        </w:tabs>
        <w:ind w:left="0" w:hanging="0"/>
        <w:rPr/>
      </w:pPr>
      <w:r>
        <w:rPr>
          <w:rStyle w:val="Style10"/>
          <w:rFonts w:cs="Times New Roman"/>
          <w:sz w:val="26"/>
          <w:szCs w:val="26"/>
        </w:rPr>
        <w:t xml:space="preserve">Положение о представлении гражданами, претендующими на замещение должностей муниципальной службы, и муниципальными служащими Администрации Варненского муниципального округа сведений о доходах, расходах, об имуществе и обязательствах имущественного характера </w:t>
      </w:r>
    </w:p>
    <w:p>
      <w:pPr>
        <w:pStyle w:val="Style20"/>
        <w:rPr>
          <w:sz w:val="26"/>
          <w:szCs w:val="26"/>
        </w:rPr>
      </w:pPr>
      <w:r>
        <w:rPr>
          <w:sz w:val="26"/>
          <w:szCs w:val="26"/>
        </w:rPr>
      </w:r>
    </w:p>
    <w:p>
      <w:pPr>
        <w:pStyle w:val="Style20"/>
        <w:rPr>
          <w:sz w:val="26"/>
          <w:szCs w:val="26"/>
        </w:rPr>
      </w:pPr>
      <w:bookmarkStart w:id="8" w:name="anchor1001"/>
      <w:bookmarkEnd w:id="8"/>
      <w:r>
        <w:rPr>
          <w:sz w:val="26"/>
          <w:szCs w:val="26"/>
        </w:rPr>
        <w:t>1. Настоящее Положение определяет порядок представления лицами, круг которых определен настоящим Положением, сведений о полученных ими доходах, об имуществе, принадлежащем им на праве собственности, и об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w:t>
      </w:r>
    </w:p>
    <w:p>
      <w:pPr>
        <w:pStyle w:val="Style20"/>
        <w:rPr>
          <w:sz w:val="26"/>
          <w:szCs w:val="26"/>
        </w:rPr>
      </w:pPr>
      <w:bookmarkStart w:id="9" w:name="anchor1002"/>
      <w:bookmarkEnd w:id="9"/>
      <w:r>
        <w:rPr>
          <w:sz w:val="26"/>
          <w:szCs w:val="26"/>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pPr>
        <w:pStyle w:val="Style20"/>
        <w:rPr/>
      </w:pPr>
      <w:bookmarkStart w:id="10" w:name="anchor1003"/>
      <w:bookmarkEnd w:id="10"/>
      <w:r>
        <w:rPr>
          <w:rStyle w:val="Style10"/>
          <w:sz w:val="26"/>
          <w:szCs w:val="26"/>
        </w:rPr>
        <w:t>1) граждане, претендующие на замещение должностей муниципальной службы, предусмотренных перечнем должностей, утвержденным нормативно-правовым актом Администрации Варненского муниципального округа;</w:t>
      </w:r>
      <w:r>
        <w:rPr>
          <w:rStyle w:val="Style10"/>
          <w:color w:val="22272F"/>
          <w:sz w:val="28"/>
          <w:szCs w:val="28"/>
          <w:highlight w:val="white"/>
        </w:rPr>
        <w:t xml:space="preserve"> </w:t>
      </w:r>
    </w:p>
    <w:p>
      <w:pPr>
        <w:pStyle w:val="Style20"/>
        <w:rPr>
          <w:sz w:val="26"/>
          <w:szCs w:val="26"/>
        </w:rPr>
      </w:pPr>
      <w:bookmarkStart w:id="11" w:name="anchor1004"/>
      <w:bookmarkEnd w:id="11"/>
      <w:r>
        <w:rPr>
          <w:sz w:val="26"/>
          <w:szCs w:val="26"/>
        </w:rPr>
        <w:t>2) муниципальные служащие, претендующие на замещение должностей муниципальной службы, включенных в  перечень должностей, утвержденный нормативно-правовым актом Администрации Варненского муниципального округа;</w:t>
      </w:r>
    </w:p>
    <w:p>
      <w:pPr>
        <w:pStyle w:val="Style20"/>
        <w:rPr/>
      </w:pPr>
      <w:bookmarkStart w:id="12" w:name="anchor1006"/>
      <w:bookmarkStart w:id="13" w:name="anchor1005"/>
      <w:bookmarkEnd w:id="12"/>
      <w:bookmarkEnd w:id="13"/>
      <w:r>
        <w:rPr>
          <w:rStyle w:val="Style10"/>
          <w:sz w:val="26"/>
          <w:szCs w:val="26"/>
        </w:rPr>
        <w:t xml:space="preserve">3) лица, замещающие должности, указанные в </w:t>
      </w:r>
      <w:hyperlink w:anchor="anchor1003" w:tgtFrame="_top">
        <w:r>
          <w:rPr>
            <w:rStyle w:val="Style10"/>
            <w:sz w:val="26"/>
            <w:szCs w:val="26"/>
          </w:rPr>
          <w:t>подпунктах 1-2 пункта 2</w:t>
        </w:r>
      </w:hyperlink>
      <w:r>
        <w:rPr>
          <w:rStyle w:val="Style10"/>
          <w:sz w:val="26"/>
          <w:szCs w:val="26"/>
        </w:rPr>
        <w:t xml:space="preserve"> настоящего Положения, в случае возникновения оснований для представления сведений о расходах в соответствии с </w:t>
      </w:r>
      <w:hyperlink r:id="rId6" w:tgtFrame="_top">
        <w:r>
          <w:rPr>
            <w:rStyle w:val="Style10"/>
            <w:sz w:val="26"/>
            <w:szCs w:val="26"/>
          </w:rPr>
          <w:t>Федеральным законом</w:t>
        </w:r>
      </w:hyperlink>
      <w:r>
        <w:rPr>
          <w:rStyle w:val="Style10"/>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Style20"/>
        <w:rPr/>
      </w:pPr>
      <w:bookmarkStart w:id="14" w:name="anchor1007"/>
      <w:bookmarkEnd w:id="14"/>
      <w:r>
        <w:rPr>
          <w:rStyle w:val="Style10"/>
          <w:sz w:val="26"/>
          <w:szCs w:val="26"/>
        </w:rPr>
        <w:t xml:space="preserve">3. Сведения о доходах, об имуществе и обязательствах имущественного характера, а также уточнения к ним, предоставляются по утвержденной Президентом Российской Федерации </w:t>
      </w:r>
      <w:hyperlink r:id="rId7" w:tgtFrame="_top">
        <w:r>
          <w:rPr>
            <w:rStyle w:val="Style10"/>
            <w:sz w:val="26"/>
            <w:szCs w:val="26"/>
          </w:rPr>
          <w:t>форме</w:t>
        </w:r>
      </w:hyperlink>
      <w:r>
        <w:rPr>
          <w:rStyle w:val="Style10"/>
          <w:sz w:val="26"/>
          <w:szCs w:val="26"/>
        </w:rPr>
        <w:t xml:space="preserve"> справки, заполненной с использованием специального программного обеспечения «Справки БК», размещенного на </w:t>
      </w:r>
      <w:hyperlink r:id="rId8" w:tgtFrame="_top">
        <w:r>
          <w:rPr>
            <w:rStyle w:val="Style10"/>
            <w:sz w:val="26"/>
            <w:szCs w:val="26"/>
          </w:rPr>
          <w:t>официальном сайте</w:t>
        </w:r>
      </w:hyperlink>
      <w:r>
        <w:rPr>
          <w:rStyle w:val="Style10"/>
          <w:sz w:val="26"/>
          <w:szCs w:val="26"/>
        </w:rPr>
        <w:t xml:space="preserve"> Администрации Варненского муниципального округа в информационно-телекоммуникационной сети «Интернет» в отдел муниципальной службы и кадров Администрации Варненского муниципального округа либо в кадровое подразделение отраслевого (функционального) органа Администрации Варненского муниципального округа.</w:t>
      </w:r>
    </w:p>
    <w:p>
      <w:pPr>
        <w:pStyle w:val="Style20"/>
        <w:rPr/>
      </w:pPr>
      <w:bookmarkStart w:id="15" w:name="anchor1008"/>
      <w:bookmarkEnd w:id="15"/>
      <w:r>
        <w:rPr>
          <w:rStyle w:val="Style10"/>
          <w:sz w:val="26"/>
          <w:szCs w:val="26"/>
        </w:rPr>
        <w:t xml:space="preserve">4. Лица, указанные в </w:t>
      </w:r>
      <w:hyperlink w:anchor="anchor1003" w:tgtFrame="_top">
        <w:r>
          <w:rPr>
            <w:rStyle w:val="Style10"/>
            <w:sz w:val="26"/>
            <w:szCs w:val="26"/>
          </w:rPr>
          <w:t>подпункте 1-2 пункта 2</w:t>
        </w:r>
      </w:hyperlink>
      <w:r>
        <w:rPr>
          <w:rStyle w:val="Style10"/>
          <w:sz w:val="26"/>
          <w:szCs w:val="26"/>
        </w:rPr>
        <w:t xml:space="preserve"> настоящего Положения представляют:</w:t>
      </w:r>
    </w:p>
    <w:p>
      <w:pPr>
        <w:pStyle w:val="Style20"/>
        <w:rPr>
          <w:sz w:val="26"/>
          <w:szCs w:val="26"/>
        </w:rPr>
      </w:pPr>
      <w:bookmarkStart w:id="16" w:name="anchor1009"/>
      <w:bookmarkEnd w:id="16"/>
      <w:r>
        <w:rPr>
          <w:sz w:val="26"/>
          <w:szCs w:val="2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pStyle w:val="Style20"/>
        <w:rPr>
          <w:sz w:val="26"/>
          <w:szCs w:val="26"/>
        </w:rPr>
      </w:pPr>
      <w:bookmarkStart w:id="17" w:name="anchor1010"/>
      <w:bookmarkEnd w:id="17"/>
      <w:r>
        <w:rPr>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pStyle w:val="Style20"/>
        <w:rPr/>
      </w:pPr>
      <w:bookmarkStart w:id="18" w:name="anchor1011"/>
      <w:bookmarkEnd w:id="18"/>
      <w:r>
        <w:rPr>
          <w:rStyle w:val="Style10"/>
          <w:sz w:val="26"/>
          <w:szCs w:val="26"/>
        </w:rPr>
        <w:t xml:space="preserve">5. Лица, указанные в </w:t>
      </w:r>
      <w:hyperlink w:anchor="anchor1006" w:tgtFrame="_top">
        <w:r>
          <w:rPr>
            <w:rStyle w:val="Style10"/>
            <w:sz w:val="26"/>
            <w:szCs w:val="26"/>
          </w:rPr>
          <w:t>подпункте 3 пункта 2</w:t>
        </w:r>
      </w:hyperlink>
      <w:r>
        <w:rPr>
          <w:rStyle w:val="Style10"/>
          <w:sz w:val="26"/>
          <w:szCs w:val="26"/>
        </w:rPr>
        <w:t xml:space="preserve"> настоящего Положения представляют:</w:t>
      </w:r>
    </w:p>
    <w:p>
      <w:pPr>
        <w:pStyle w:val="Style20"/>
        <w:rPr/>
      </w:pPr>
      <w:bookmarkStart w:id="19" w:name="anchor1012"/>
      <w:bookmarkEnd w:id="19"/>
      <w:r>
        <w:rPr>
          <w:rStyle w:val="Style10"/>
          <w:sz w:val="26"/>
          <w:szCs w:val="26"/>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9" w:tgtFrame="_top">
        <w:r>
          <w:rPr>
            <w:rStyle w:val="Style10"/>
            <w:sz w:val="26"/>
            <w:szCs w:val="26"/>
          </w:rPr>
          <w:t>Федеральным законом</w:t>
        </w:r>
      </w:hyperlink>
      <w:r>
        <w:rPr>
          <w:rStyle w:val="Style10"/>
          <w:sz w:val="26"/>
          <w:szCs w:val="26"/>
        </w:rPr>
        <w:t>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Style20"/>
        <w:rPr/>
      </w:pPr>
      <w:bookmarkStart w:id="20" w:name="anchor1013"/>
      <w:bookmarkEnd w:id="20"/>
      <w:r>
        <w:rPr>
          <w:rStyle w:val="Style10"/>
          <w:sz w:val="26"/>
          <w:szCs w:val="26"/>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0" w:tgtFrame="_top">
        <w:r>
          <w:rPr>
            <w:rStyle w:val="Style10"/>
            <w:sz w:val="26"/>
            <w:szCs w:val="26"/>
          </w:rPr>
          <w:t>Федеральным законом</w:t>
        </w:r>
      </w:hyperlink>
      <w:r>
        <w:rPr>
          <w:rStyle w:val="Style10"/>
          <w:sz w:val="26"/>
          <w:szCs w:val="26"/>
        </w:rPr>
        <w:t>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Style35"/>
        <w:rPr/>
      </w:pPr>
      <w:bookmarkStart w:id="21" w:name="anchor1015"/>
      <w:bookmarkStart w:id="22" w:name="anchor1014"/>
      <w:bookmarkEnd w:id="21"/>
      <w:bookmarkEnd w:id="22"/>
      <w:r>
        <w:rPr>
          <w:rStyle w:val="Style10"/>
          <w:sz w:val="26"/>
          <w:szCs w:val="26"/>
        </w:rPr>
        <w:t xml:space="preserve">6. </w:t>
      </w:r>
      <w:bookmarkStart w:id="23" w:name="anchor1016"/>
      <w:bookmarkEnd w:id="23"/>
      <w:r>
        <w:rPr>
          <w:rStyle w:val="Style10"/>
          <w:sz w:val="26"/>
          <w:szCs w:val="26"/>
        </w:rPr>
        <w:t xml:space="preserve">В случае если гражданин, претендующий на замещение </w:t>
      </w:r>
      <w:r>
        <w:rPr>
          <w:rStyle w:val="Style10"/>
          <w:rFonts w:eastAsia="Arial Unicode MS"/>
          <w:sz w:val="26"/>
          <w:szCs w:val="26"/>
          <w:highlight w:val="white"/>
        </w:rPr>
        <w:t>должности муниципальной службы,</w:t>
      </w:r>
      <w:r>
        <w:rPr>
          <w:rStyle w:val="Style10"/>
          <w:sz w:val="26"/>
          <w:szCs w:val="26"/>
        </w:rPr>
        <w:t xml:space="preserve"> либо </w:t>
      </w:r>
      <w:r>
        <w:rPr>
          <w:rStyle w:val="Style10"/>
          <w:rFonts w:eastAsia="Arial Unicode MS"/>
          <w:sz w:val="26"/>
          <w:szCs w:val="26"/>
          <w:highlight w:val="white"/>
        </w:rPr>
        <w:t>муниципальный служащий Администрации Варненского муниципального округа</w:t>
      </w:r>
      <w:r>
        <w:rPr>
          <w:rStyle w:val="Style10"/>
          <w:sz w:val="26"/>
          <w:szCs w:val="26"/>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pPr>
        <w:pStyle w:val="Style35"/>
        <w:rPr/>
      </w:pPr>
      <w:r>
        <w:rPr>
          <w:rStyle w:val="Style10"/>
          <w:sz w:val="26"/>
          <w:szCs w:val="26"/>
        </w:rPr>
        <w:t xml:space="preserve">а) гражданин, претендующий на замещение </w:t>
      </w:r>
      <w:r>
        <w:rPr>
          <w:rStyle w:val="Style10"/>
          <w:rFonts w:eastAsia="Arial Unicode MS"/>
          <w:sz w:val="26"/>
          <w:szCs w:val="26"/>
          <w:highlight w:val="white"/>
        </w:rPr>
        <w:t>должности муниципальной службы,</w:t>
      </w:r>
      <w:r>
        <w:rPr>
          <w:rStyle w:val="Style10"/>
          <w:sz w:val="26"/>
          <w:szCs w:val="26"/>
        </w:rPr>
        <w:t xml:space="preserve"> - в течение одного месяца со дня представления сведений в соответствии с пунктом 4 настоящего Положения;</w:t>
      </w:r>
    </w:p>
    <w:p>
      <w:pPr>
        <w:pStyle w:val="Style35"/>
        <w:rPr/>
      </w:pPr>
      <w:r>
        <w:rPr>
          <w:rStyle w:val="Style10"/>
          <w:sz w:val="26"/>
          <w:szCs w:val="26"/>
        </w:rPr>
        <w:t xml:space="preserve">б) лицо, замещающее </w:t>
      </w:r>
      <w:r>
        <w:rPr>
          <w:rStyle w:val="Style10"/>
          <w:rFonts w:eastAsia="Arial Unicode MS"/>
          <w:sz w:val="26"/>
          <w:szCs w:val="26"/>
          <w:highlight w:val="white"/>
        </w:rPr>
        <w:t>должность муниципальной службы,</w:t>
      </w:r>
      <w:r>
        <w:rPr>
          <w:rStyle w:val="Style10"/>
          <w:sz w:val="26"/>
          <w:szCs w:val="26"/>
        </w:rPr>
        <w:t xml:space="preserve"> - в течение одного месяца после окончания установленного срока в соответствии с пунктом 5 настоящего Положения;</w:t>
      </w:r>
    </w:p>
    <w:p>
      <w:pPr>
        <w:pStyle w:val="Style20"/>
        <w:rPr/>
      </w:pPr>
      <w:r>
        <w:rPr>
          <w:rStyle w:val="Style10"/>
          <w:sz w:val="26"/>
          <w:szCs w:val="26"/>
        </w:rPr>
        <w:t xml:space="preserve">7. В случае непредставления по объективным причинам лицами, указанными в </w:t>
      </w:r>
      <w:hyperlink w:anchor="anchor1002" w:tgtFrame="_top">
        <w:r>
          <w:rPr>
            <w:rStyle w:val="Style10"/>
            <w:sz w:val="26"/>
            <w:szCs w:val="26"/>
          </w:rPr>
          <w:t>пункте 2</w:t>
        </w:r>
      </w:hyperlink>
      <w:r>
        <w:rPr>
          <w:rStyle w:val="Style10"/>
          <w:sz w:val="26"/>
          <w:szCs w:val="26"/>
        </w:rPr>
        <w:t xml:space="preserve"> настоящего Положения,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Варненского муниципального округа и урегулированию конфликта интересов.</w:t>
      </w:r>
    </w:p>
    <w:p>
      <w:pPr>
        <w:pStyle w:val="Style35"/>
        <w:rPr>
          <w:sz w:val="26"/>
          <w:szCs w:val="26"/>
        </w:rPr>
      </w:pPr>
      <w:bookmarkStart w:id="24" w:name="anchor1017"/>
      <w:bookmarkEnd w:id="24"/>
      <w:r>
        <w:rPr>
          <w:sz w:val="26"/>
          <w:szCs w:val="26"/>
        </w:rPr>
        <w:t>8. Муниципальный служащий представляет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Style20"/>
        <w:rPr/>
      </w:pPr>
      <w:r>
        <w:rPr>
          <w:rStyle w:val="Style10"/>
          <w:sz w:val="26"/>
          <w:szCs w:val="26"/>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отделом муниципальной службы и кадров Администрации Варненского муниципального округа, кадровым подразделением отраслевого (функционального) органа Администрации Варненского муниципального округа в порядке, устанавливаемом действующим </w:t>
      </w:r>
      <w:hyperlink r:id="rId11" w:tgtFrame="_top">
        <w:r>
          <w:rPr>
            <w:rStyle w:val="Style10"/>
            <w:sz w:val="26"/>
            <w:szCs w:val="26"/>
          </w:rPr>
          <w:t>законодательством</w:t>
        </w:r>
      </w:hyperlink>
      <w:r>
        <w:rPr>
          <w:rStyle w:val="Style10"/>
          <w:sz w:val="26"/>
          <w:szCs w:val="26"/>
        </w:rPr>
        <w:t xml:space="preserve"> Российской Федерации.</w:t>
      </w:r>
    </w:p>
    <w:p>
      <w:pPr>
        <w:pStyle w:val="Style20"/>
        <w:rPr/>
      </w:pPr>
      <w:bookmarkStart w:id="25" w:name="anchor1018"/>
      <w:bookmarkEnd w:id="25"/>
      <w:r>
        <w:rPr>
          <w:rStyle w:val="Style10"/>
          <w:sz w:val="26"/>
          <w:szCs w:val="26"/>
        </w:rPr>
        <w:t xml:space="preserve">10. Сведения о доходах, расходах, об имуществе и обязательствах имущественного характера, представляемые в соответствии с настоящим Положением, относятся к информации ограниченного доступа, являются сведениями конфиденциального характера, если федеральным законом они не отнесены к </w:t>
      </w:r>
      <w:hyperlink r:id="rId12" w:tgtFrame="_top">
        <w:r>
          <w:rPr>
            <w:rStyle w:val="Style10"/>
            <w:sz w:val="26"/>
            <w:szCs w:val="26"/>
          </w:rPr>
          <w:t>сведениям</w:t>
        </w:r>
      </w:hyperlink>
      <w:r>
        <w:rPr>
          <w:rStyle w:val="Style10"/>
          <w:sz w:val="26"/>
          <w:szCs w:val="26"/>
        </w:rPr>
        <w:t>, составляющим государственную и иную охраняемую федеральным законом тайну.</w:t>
      </w:r>
    </w:p>
    <w:p>
      <w:pPr>
        <w:pStyle w:val="Style20"/>
        <w:rPr>
          <w:sz w:val="26"/>
          <w:szCs w:val="26"/>
        </w:rPr>
      </w:pPr>
      <w:bookmarkStart w:id="26" w:name="anchor1019"/>
      <w:bookmarkEnd w:id="26"/>
      <w:r>
        <w:rPr>
          <w:sz w:val="26"/>
          <w:szCs w:val="26"/>
        </w:rPr>
        <w:t>11.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Указанные сведения могут храниться в электронном виде.</w:t>
      </w:r>
    </w:p>
    <w:p>
      <w:pPr>
        <w:pStyle w:val="Style20"/>
        <w:rPr/>
      </w:pPr>
      <w:r>
        <w:rPr>
          <w:rStyle w:val="Style10"/>
          <w:sz w:val="26"/>
          <w:szCs w:val="26"/>
        </w:rPr>
        <w:t>12. В случае непоступления гражданина на муниципальную службу,  предоставленные в кадровую службу Администрации Варненского муниципального округа, кадровую службу отраслевого (функционального) органа Администрации Варненского муниципального округа сведения о доходах, расходах, об имуществе и обязательствах имущественного характера в дальнейшем не могут быть использованы и подлежат уничтожению либо п</w:t>
      </w:r>
      <w:r>
        <w:rPr>
          <w:rStyle w:val="Style10"/>
          <w:sz w:val="28"/>
          <w:szCs w:val="28"/>
        </w:rPr>
        <w:t>о письменному заявлению такие справки возвращаются указанному лицу вместе с другими документами.</w:t>
      </w:r>
    </w:p>
    <w:p>
      <w:pPr>
        <w:pStyle w:val="Style20"/>
        <w:rPr/>
      </w:pPr>
      <w:bookmarkStart w:id="27" w:name="anchor1020"/>
      <w:bookmarkEnd w:id="27"/>
      <w:r>
        <w:rPr>
          <w:rStyle w:val="Style10"/>
          <w:sz w:val="26"/>
          <w:szCs w:val="26"/>
        </w:rPr>
        <w:t xml:space="preserve">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hyperlink r:id="rId13" w:tgtFrame="_top">
        <w:r>
          <w:rPr>
            <w:rStyle w:val="Style10"/>
            <w:sz w:val="26"/>
            <w:szCs w:val="26"/>
          </w:rPr>
          <w:t>законодательством</w:t>
        </w:r>
      </w:hyperlink>
      <w:r>
        <w:rPr>
          <w:rStyle w:val="Style10"/>
          <w:sz w:val="26"/>
          <w:szCs w:val="26"/>
        </w:rPr>
        <w:t xml:space="preserve"> Российской Федерации.</w:t>
      </w:r>
    </w:p>
    <w:p>
      <w:pPr>
        <w:pStyle w:val="Style20"/>
        <w:rPr>
          <w:sz w:val="26"/>
          <w:szCs w:val="26"/>
        </w:rPr>
      </w:pPr>
      <w:bookmarkStart w:id="28" w:name="anchor1021"/>
      <w:bookmarkEnd w:id="28"/>
      <w:r>
        <w:rPr>
          <w:sz w:val="26"/>
          <w:szCs w:val="26"/>
        </w:rPr>
        <w:t xml:space="preserve">14. Непредставление гражданином при поступлении на муниципальную службу в Администрацию Варненского муниципального округа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 в Администрацию Варненского муниципального округа. </w:t>
      </w:r>
    </w:p>
    <w:p>
      <w:pPr>
        <w:pStyle w:val="Style35"/>
        <w:rPr/>
      </w:pPr>
      <w:bookmarkStart w:id="29" w:name="anchor1022"/>
      <w:bookmarkEnd w:id="29"/>
      <w:r>
        <w:rPr>
          <w:rStyle w:val="Style10"/>
          <w:sz w:val="26"/>
          <w:szCs w:val="26"/>
        </w:rPr>
        <w:t>15. Непредставление муниципальным служащим сведений о доходах, об имуществе и обязательствах имущественного характера, предусмотренных Федеральным </w:t>
      </w:r>
      <w:r>
        <w:fldChar w:fldCharType="begin"/>
      </w:r>
      <w:r>
        <w:rPr>
          <w:rStyle w:val="Style10"/>
          <w:sz w:val="26"/>
          <w:szCs w:val="26"/>
        </w:rPr>
        <w:instrText> HYPERLINK "https://www.consultant.ru/document/cons_doc_LAW_523306/0df55120032a62dbb9f5793d06448e4132c1ac0e/" \l "dst69" \n _top</w:instrText>
      </w:r>
      <w:r>
        <w:rPr>
          <w:rStyle w:val="Style10"/>
          <w:sz w:val="26"/>
          <w:szCs w:val="26"/>
        </w:rPr>
        <w:fldChar w:fldCharType="separate"/>
      </w:r>
      <w:r>
        <w:rPr>
          <w:rStyle w:val="Style10"/>
          <w:sz w:val="26"/>
          <w:szCs w:val="26"/>
        </w:rPr>
        <w:t>законом</w:t>
      </w:r>
      <w:r>
        <w:rPr>
          <w:rStyle w:val="Style10"/>
          <w:sz w:val="26"/>
          <w:szCs w:val="26"/>
        </w:rPr>
        <w:fldChar w:fldCharType="end"/>
      </w:r>
      <w:r>
        <w:rPr>
          <w:rStyle w:val="Style10"/>
          <w:sz w:val="26"/>
          <w:szCs w:val="26"/>
        </w:rPr>
        <w:t> от 25 декабря 2008 года № 273-ФЗ «О противодействии коррупции», и сведений о расходах, предусмотренных Федеральным </w:t>
      </w:r>
      <w:r>
        <w:fldChar w:fldCharType="begin"/>
      </w:r>
      <w:r>
        <w:rPr>
          <w:rStyle w:val="Style10"/>
          <w:sz w:val="26"/>
          <w:szCs w:val="26"/>
        </w:rPr>
        <w:instrText> HYPERLINK "https://www.consultant.ru/document/cons_doc_LAW_523305/3d0cac60971a511280cbba229d9b6329c07731f7/" \l "dst100118" \n _top</w:instrText>
      </w:r>
      <w:r>
        <w:rPr>
          <w:rStyle w:val="Style10"/>
          <w:sz w:val="26"/>
          <w:szCs w:val="26"/>
        </w:rPr>
        <w:fldChar w:fldCharType="separate"/>
      </w:r>
      <w:r>
        <w:rPr>
          <w:rStyle w:val="Style10"/>
          <w:sz w:val="26"/>
          <w:szCs w:val="26"/>
        </w:rPr>
        <w:t>законом</w:t>
      </w:r>
      <w:r>
        <w:rPr>
          <w:rStyle w:val="Style10"/>
          <w:sz w:val="26"/>
          <w:szCs w:val="26"/>
        </w:rPr>
        <w:fldChar w:fldCharType="end"/>
      </w:r>
      <w:r>
        <w:rPr>
          <w:rStyle w:val="Style10"/>
          <w:sz w:val="26"/>
          <w:szCs w:val="26"/>
        </w:rPr>
        <w:t>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pPr>
        <w:pStyle w:val="Style35"/>
        <w:rPr/>
      </w:pPr>
      <w:r>
        <w:rPr>
          <w:rStyle w:val="Style10"/>
          <w:sz w:val="26"/>
          <w:szCs w:val="26"/>
        </w:rPr>
        <w:t>16. Не допускается использование сведений о доходах, об имуществе и обязательствах имущественного характера, представляемых гражданином или муниципальным служащим в соответствии с настоящим Положением,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sectPr>
      <w:footerReference w:type="default" r:id="rId14"/>
      <w:type w:val="nextPage"/>
      <w:pgSz w:w="11906" w:h="16838"/>
      <w:pgMar w:left="1701" w:right="567" w:header="0" w:top="720" w:footer="72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ourier New">
    <w:charset w:val="cc"/>
    <w:family w:val="modern"/>
    <w:pitch w:val="fixed"/>
  </w:font>
  <w:font w:name="Times New Roman CYR">
    <w:charset w:val="cc"/>
    <w:family w:val="roman"/>
    <w:pitch w:val="variable"/>
  </w:font>
  <w:font w:name="PT Astra Serif">
    <w:charset w:val="cc"/>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78" w:type="dxa"/>
      <w:jc w:val="left"/>
      <w:tblInd w:w="0" w:type="dxa"/>
      <w:tblCellMar>
        <w:top w:w="0" w:type="dxa"/>
        <w:left w:w="10" w:type="dxa"/>
        <w:bottom w:w="0" w:type="dxa"/>
        <w:right w:w="10" w:type="dxa"/>
      </w:tblCellMar>
    </w:tblPr>
    <w:tblGrid>
      <w:gridCol w:w="26"/>
      <w:gridCol w:w="26"/>
      <w:gridCol w:w="26"/>
    </w:tblGrid>
    <w:tr>
      <w:trPr/>
      <w:tc>
        <w:tcPr>
          <w:tcW w:w="26" w:type="dxa"/>
          <w:tcBorders/>
          <w:shd w:fill="auto" w:val="clear"/>
        </w:tcPr>
        <w:p>
          <w:pPr>
            <w:pStyle w:val="Normal"/>
            <w:ind w:hanging="0"/>
            <w:jc w:val="left"/>
            <w:rPr>
              <w:rFonts w:eastAsia="Times New Roman" w:cs="Times New Roman"/>
            </w:rPr>
          </w:pPr>
          <w:r>
            <w:rPr>
              <w:rFonts w:eastAsia="Times New Roman" w:cs="Times New Roman"/>
            </w:rPr>
          </w:r>
        </w:p>
      </w:tc>
      <w:tc>
        <w:tcPr>
          <w:tcW w:w="26" w:type="dxa"/>
          <w:tcBorders/>
          <w:shd w:fill="auto" w:val="clear"/>
        </w:tcPr>
        <w:p>
          <w:pPr>
            <w:pStyle w:val="Normal"/>
            <w:ind w:hanging="0"/>
            <w:jc w:val="center"/>
            <w:rPr>
              <w:rFonts w:eastAsia="Times New Roman" w:cs="Times New Roman"/>
            </w:rPr>
          </w:pPr>
          <w:r>
            <w:rPr>
              <w:rFonts w:eastAsia="Times New Roman" w:cs="Times New Roman"/>
            </w:rPr>
          </w:r>
        </w:p>
      </w:tc>
      <w:tc>
        <w:tcPr>
          <w:tcW w:w="26" w:type="dxa"/>
          <w:tcBorders/>
          <w:shd w:fill="auto" w:val="clear"/>
        </w:tcPr>
        <w:p>
          <w:pPr>
            <w:pStyle w:val="Normal"/>
            <w:ind w:hanging="0"/>
            <w:jc w:val="right"/>
            <w:rPr>
              <w:rFonts w:eastAsia="Times New Roman" w:cs="Times New Roman"/>
            </w:rPr>
          </w:pPr>
          <w:r>
            <w:rPr>
              <w:rFonts w:eastAsia="Times New Roman" w:cs="Times New Roman"/>
            </w:rPr>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kern w:val="2"/>
        <w:sz w:val="22"/>
        <w:szCs w:val="22"/>
        <w:lang w:val="ru-RU" w:eastAsia="ru-RU" w:bidi="ar-SA"/>
      </w:rPr>
    </w:rPrDefault>
    <w:pPrDefault>
      <w:pPr>
        <w:suppressAutoHyphens w:val="false"/>
        <w:overflowPunct w:val="false"/>
        <w:autoSpaceDE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false"/>
      <w:autoSpaceDE w:val="false"/>
      <w:bidi w:val="0"/>
      <w:snapToGrid w:val="true"/>
      <w:spacing w:lineRule="auto" w:line="240"/>
      <w:ind w:firstLine="720"/>
      <w:jc w:val="both"/>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ru-RU" w:eastAsia="ru-RU" w:bidi="ar-SA"/>
    </w:rPr>
  </w:style>
  <w:style w:type="paragraph" w:styleId="1">
    <w:name w:val="Heading 1"/>
    <w:basedOn w:val="Style17"/>
    <w:qFormat/>
    <w:pPr>
      <w:numPr>
        <w:ilvl w:val="0"/>
        <w:numId w:val="1"/>
      </w:numPr>
      <w:suppressAutoHyphens w:val="true"/>
      <w:outlineLvl w:val="0"/>
    </w:pPr>
    <w:rPr/>
  </w:style>
  <w:style w:type="paragraph" w:styleId="2">
    <w:name w:val="Heading 2"/>
    <w:basedOn w:val="Style17"/>
    <w:qFormat/>
    <w:pPr>
      <w:numPr>
        <w:ilvl w:val="1"/>
        <w:numId w:val="1"/>
      </w:numPr>
      <w:suppressAutoHyphens w:val="true"/>
      <w:outlineLvl w:val="1"/>
    </w:pPr>
    <w:rPr/>
  </w:style>
  <w:style w:type="paragraph" w:styleId="3">
    <w:name w:val="Heading 3"/>
    <w:basedOn w:val="Style17"/>
    <w:qFormat/>
    <w:pPr>
      <w:numPr>
        <w:ilvl w:val="2"/>
        <w:numId w:val="1"/>
      </w:numPr>
      <w:suppressAutoHyphens w:val="true"/>
      <w:outlineLvl w:val="2"/>
    </w:pPr>
    <w:rPr/>
  </w:style>
  <w:style w:type="paragraph" w:styleId="4">
    <w:name w:val="Heading 4"/>
    <w:basedOn w:val="Style17"/>
    <w:qFormat/>
    <w:pPr>
      <w:numPr>
        <w:ilvl w:val="3"/>
        <w:numId w:val="1"/>
      </w:numPr>
      <w:suppressAutoHyphens w:val="true"/>
      <w:outlineLvl w:val="3"/>
    </w:pPr>
    <w:rPr/>
  </w:style>
  <w:style w:type="character" w:styleId="Style10">
    <w:name w:val="Основной шрифт абзаца"/>
    <w:qFormat/>
    <w:rPr/>
  </w:style>
  <w:style w:type="character" w:styleId="Style11">
    <w:name w:val="Верхний колонтитул Знак"/>
    <w:basedOn w:val="Style10"/>
    <w:qFormat/>
    <w:rPr>
      <w:rFonts w:ascii="Times New Roman" w:hAnsi="Times New Roman"/>
      <w:sz w:val="24"/>
    </w:rPr>
  </w:style>
  <w:style w:type="character" w:styleId="Style12">
    <w:name w:val="Нижний колонтитул Знак"/>
    <w:basedOn w:val="Style10"/>
    <w:qFormat/>
    <w:rPr>
      <w:rFonts w:ascii="Times New Roman" w:hAnsi="Times New Roman"/>
      <w:sz w:val="24"/>
    </w:rPr>
  </w:style>
  <w:style w:type="character" w:styleId="Style13">
    <w:name w:val="Основной текст Знак"/>
    <w:basedOn w:val="Style10"/>
    <w:qFormat/>
    <w:rPr>
      <w:rFonts w:ascii="Times New Roman" w:hAnsi="Times New Roman"/>
      <w:sz w:val="24"/>
    </w:rPr>
  </w:style>
  <w:style w:type="character" w:styleId="Style14">
    <w:name w:val="Гиперссылка"/>
    <w:basedOn w:val="Style10"/>
    <w:qFormat/>
    <w:rPr>
      <w:color w:val="0563C1"/>
      <w:u w:val="single"/>
    </w:rPr>
  </w:style>
  <w:style w:type="character" w:styleId="Style15">
    <w:name w:val="Неразрешенное упоминание"/>
    <w:basedOn w:val="Style10"/>
    <w:qFormat/>
    <w:rPr>
      <w:color w:val="605E5C"/>
      <w:highlight w:val="lightGray"/>
    </w:rPr>
  </w:style>
  <w:style w:type="character" w:styleId="Style16">
    <w:name w:val="Интернет-ссылка"/>
    <w:rPr>
      <w:color w:val="000080"/>
      <w:u w:val="single"/>
      <w:lang w:val="zxx" w:eastAsia="zxx" w:bidi="zxx"/>
    </w:rPr>
  </w:style>
  <w:style w:type="paragraph" w:styleId="Style17">
    <w:name w:val="Заголовок"/>
    <w:basedOn w:val="Normal"/>
    <w:qFormat/>
    <w:pPr>
      <w:keepNext w:val="true"/>
      <w:suppressAutoHyphens w:val="true"/>
      <w:spacing w:before="240" w:after="120"/>
      <w:jc w:val="center"/>
    </w:pPr>
    <w:rPr>
      <w:b/>
    </w:rPr>
  </w:style>
  <w:style w:type="paragraph" w:styleId="Style18">
    <w:name w:val="Body Text"/>
    <w:basedOn w:val="Style19"/>
    <w:pPr>
      <w:suppressAutoHyphens w:val="true"/>
      <w:spacing w:before="0" w:after="120"/>
    </w:pPr>
    <w:rPr/>
  </w:style>
  <w:style w:type="paragraph" w:styleId="Style19">
    <w:name w:val="Обычный"/>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ru-RU" w:eastAsia="ru-RU" w:bidi="ar-SA"/>
    </w:rPr>
  </w:style>
  <w:style w:type="paragraph" w:styleId="Preformatted">
    <w:name w:val="Preformatted"/>
    <w:qFormat/>
    <w:pPr>
      <w:keepNext w:val="false"/>
      <w:keepLines w:val="false"/>
      <w:pageBreakBefore w:val="false"/>
      <w:widowControl/>
      <w:pBdr/>
      <w:shd w:fill="auto" w:val="clear"/>
      <w:suppressAutoHyphens w:val="false"/>
      <w:kinsoku w:val="true"/>
      <w:overflowPunct w:val="false"/>
      <w:autoSpaceDE w:val="false"/>
      <w:bidi w:val="0"/>
      <w:snapToGrid w:val="true"/>
      <w:spacing w:lineRule="auto" w:line="240"/>
      <w:jc w:val="both"/>
      <w:textAlignment w:val="baseline"/>
    </w:pPr>
    <w:rPr>
      <w:rFonts w:ascii="Courier New" w:hAnsi="Courier New" w:eastAsia="Courier New" w:cs="Courier New"/>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ru-RU" w:eastAsia="ru-RU" w:bidi="ar-SA"/>
    </w:rPr>
  </w:style>
  <w:style w:type="paragraph" w:styleId="Style20">
    <w:name w:val="Нормальный"/>
    <w:basedOn w:val="Normal"/>
    <w:qFormat/>
    <w:pPr>
      <w:suppressAutoHyphens w:val="true"/>
    </w:pPr>
    <w:rPr/>
  </w:style>
  <w:style w:type="paragraph" w:styleId="OEM">
    <w:name w:val="Нормальный (OEM)"/>
    <w:basedOn w:val="Preformatted"/>
    <w:qFormat/>
    <w:pPr>
      <w:suppressAutoHyphens w:val="false"/>
    </w:pPr>
    <w:rPr/>
  </w:style>
  <w:style w:type="paragraph" w:styleId="Style21">
    <w:name w:val="Утратил силу"/>
    <w:basedOn w:val="Normal"/>
    <w:qFormat/>
    <w:pPr>
      <w:suppressAutoHyphens w:val="true"/>
    </w:pPr>
    <w:rPr>
      <w:strike/>
      <w:color w:val="666600"/>
    </w:rPr>
  </w:style>
  <w:style w:type="paragraph" w:styleId="Textreference">
    <w:name w:val="Text (reference)"/>
    <w:basedOn w:val="Normal"/>
    <w:qFormat/>
    <w:pPr>
      <w:suppressAutoHyphens w:val="true"/>
      <w:spacing w:before="75" w:after="0"/>
      <w:ind w:hanging="0"/>
    </w:pPr>
    <w:rPr>
      <w:i/>
      <w:color w:val="353842"/>
    </w:rPr>
  </w:style>
  <w:style w:type="paragraph" w:styleId="Style22">
    <w:name w:val="Комментарий"/>
    <w:basedOn w:val="Textreference"/>
    <w:qFormat/>
    <w:pPr>
      <w:shd w:fill="F0F0F0" w:val="clear"/>
      <w:suppressAutoHyphens w:val="true"/>
    </w:pPr>
    <w:rPr>
      <w:highlight w:val="white"/>
    </w:rPr>
  </w:style>
  <w:style w:type="paragraph" w:styleId="Style23">
    <w:name w:val="Заголовок статьи"/>
    <w:basedOn w:val="Normal"/>
    <w:qFormat/>
    <w:pPr>
      <w:tabs>
        <w:tab w:val="clear" w:pos="720"/>
      </w:tabs>
      <w:suppressAutoHyphens w:val="true"/>
      <w:ind w:left="1612" w:hanging="892"/>
    </w:pPr>
    <w:rPr/>
  </w:style>
  <w:style w:type="paragraph" w:styleId="Style24">
    <w:name w:val="Прижатый влево"/>
    <w:basedOn w:val="Normal"/>
    <w:qFormat/>
    <w:pPr>
      <w:suppressAutoHyphens w:val="true"/>
      <w:ind w:hanging="0"/>
      <w:jc w:val="left"/>
    </w:pPr>
    <w:rPr/>
  </w:style>
  <w:style w:type="paragraph" w:styleId="Style25">
    <w:name w:val="Информация о версии"/>
    <w:basedOn w:val="Textreference"/>
    <w:qFormat/>
    <w:pPr>
      <w:shd w:fill="F0F0F0" w:val="clear"/>
      <w:suppressAutoHyphens w:val="true"/>
    </w:pPr>
    <w:rPr>
      <w:highlight w:val="white"/>
    </w:rPr>
  </w:style>
  <w:style w:type="paragraph" w:styleId="Style26">
    <w:name w:val="Не вступил в силу"/>
    <w:basedOn w:val="Normal"/>
    <w:qFormat/>
    <w:pPr>
      <w:tabs>
        <w:tab w:val="clear" w:pos="720"/>
      </w:tabs>
      <w:suppressAutoHyphens w:val="true"/>
      <w:ind w:left="139" w:hanging="139"/>
    </w:pPr>
    <w:rPr/>
  </w:style>
  <w:style w:type="paragraph" w:styleId="Style27">
    <w:name w:val="Информация об изменениях"/>
    <w:basedOn w:val="Textreference"/>
    <w:qFormat/>
    <w:pPr>
      <w:shd w:fill="EAEFED" w:val="clear"/>
      <w:suppressAutoHyphens w:val="true"/>
    </w:pPr>
    <w:rPr>
      <w:sz w:val="20"/>
      <w:highlight w:val="cyan"/>
    </w:rPr>
  </w:style>
  <w:style w:type="paragraph" w:styleId="Style28">
    <w:name w:val="Заголовок ЭР (левое окно)"/>
    <w:basedOn w:val="Style17"/>
    <w:qFormat/>
    <w:pPr>
      <w:suppressAutoHyphens w:val="true"/>
    </w:pPr>
    <w:rPr/>
  </w:style>
  <w:style w:type="paragraph" w:styleId="Style29">
    <w:name w:val="Footnote Text"/>
    <w:basedOn w:val="Normal"/>
    <w:pPr>
      <w:suppressAutoHyphens w:val="true"/>
    </w:pPr>
    <w:rPr>
      <w:sz w:val="20"/>
    </w:rPr>
  </w:style>
  <w:style w:type="paragraph" w:styleId="Style30">
    <w:name w:val="Взамен"/>
    <w:basedOn w:val="Textreference"/>
    <w:qFormat/>
    <w:pPr>
      <w:shd w:fill="FFF5AD" w:val="clear"/>
      <w:tabs>
        <w:tab w:val="clear" w:pos="720"/>
      </w:tabs>
      <w:suppressAutoHyphens w:val="true"/>
      <w:ind w:left="432" w:hanging="0"/>
    </w:pPr>
    <w:rPr>
      <w:highlight w:val="yellow"/>
    </w:rPr>
  </w:style>
  <w:style w:type="paragraph" w:styleId="Style31">
    <w:name w:val="Сравнение"/>
    <w:basedOn w:val="Textreference"/>
    <w:qFormat/>
    <w:pPr>
      <w:shd w:fill="F0F0F0" w:val="clear"/>
      <w:tabs>
        <w:tab w:val="clear" w:pos="720"/>
      </w:tabs>
      <w:suppressAutoHyphens w:val="true"/>
      <w:ind w:left="432" w:hanging="0"/>
    </w:pPr>
    <w:rPr>
      <w:highlight w:val="white"/>
    </w:rPr>
  </w:style>
  <w:style w:type="paragraph" w:styleId="Style32">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33">
    <w:name w:val="Header"/>
    <w:basedOn w:val="Style19"/>
    <w:pPr>
      <w:tabs>
        <w:tab w:val="clear" w:pos="720"/>
        <w:tab w:val="center" w:pos="4677" w:leader="none"/>
        <w:tab w:val="right" w:pos="9355" w:leader="none"/>
      </w:tabs>
      <w:suppressAutoHyphens w:val="true"/>
    </w:pPr>
    <w:rPr/>
  </w:style>
  <w:style w:type="paragraph" w:styleId="Style34">
    <w:name w:val="Footer"/>
    <w:basedOn w:val="Style19"/>
    <w:pPr>
      <w:tabs>
        <w:tab w:val="clear" w:pos="720"/>
        <w:tab w:val="center" w:pos="4677" w:leader="none"/>
        <w:tab w:val="right" w:pos="9355" w:leader="none"/>
      </w:tabs>
      <w:suppressAutoHyphens w:val="true"/>
    </w:pPr>
    <w:rPr/>
  </w:style>
  <w:style w:type="paragraph" w:styleId="ConsPlusNonformat">
    <w:name w:val="ConsPlusNonformat"/>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auto"/>
    </w:pPr>
    <w:rPr>
      <w:rFonts w:ascii="Courier New" w:hAnsi="Courier New" w:eastAsia="Times New Roman" w:cs="Courier New"/>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ru-RU" w:eastAsia="ru-RU" w:bidi="ar-SA"/>
    </w:rPr>
  </w:style>
  <w:style w:type="paragraph" w:styleId="Style35">
    <w:name w:val="Без интервала"/>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20"/>
      <w:jc w:val="both"/>
      <w:textAlignment w:val="auto"/>
    </w:pPr>
    <w:rPr>
      <w:rFonts w:ascii="Times New Roman CYR" w:hAnsi="Times New Roman CYR" w:eastAsia="Times New Roman" w:cs="Times New Roman CYR"/>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ru-RU" w:eastAsia="ru-RU" w:bidi="ar-SA"/>
    </w:rPr>
  </w:style>
  <w:style w:type="paragraph" w:styleId="Style36">
    <w:name w:val="List"/>
    <w:basedOn w:val="Style18"/>
    <w:pPr>
      <w:widowControl/>
      <w:suppressAutoHyphens w:val="true"/>
      <w:overflowPunct w:val="true"/>
      <w:autoSpaceDE w:val="true"/>
      <w:spacing w:lineRule="auto" w:line="276" w:before="0" w:after="140"/>
      <w:textAlignment w:val="auto"/>
    </w:pPr>
    <w:rPr>
      <w:rFonts w:ascii="PT Astra Serif" w:hAnsi="PT Astra Serif" w:eastAsia="Times New Roman" w:cs="Noto Sans Devanagari"/>
      <w:kern w:val="0"/>
      <w:szCs w:val="24"/>
    </w:rPr>
  </w:style>
  <w:style w:type="paragraph" w:styleId="Style37">
    <w:name w:val="Содержимое таблицы"/>
    <w:basedOn w:val="Normal"/>
    <w:qFormat/>
    <w:pPr>
      <w:suppressLineNumbers/>
    </w:pPr>
    <w:rPr/>
  </w:style>
  <w:style w:type="paragraph" w:styleId="Style38">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64203/0" TargetMode="External"/><Relationship Id="rId4" Type="http://schemas.openxmlformats.org/officeDocument/2006/relationships/hyperlink" Target="https://internet.garant.ru/document/redirect/12152272/0" TargetMode="External"/><Relationship Id="rId5" Type="http://schemas.openxmlformats.org/officeDocument/2006/relationships/hyperlink" Target="https://internet.garant.ru/document/redirect/413960795/0" TargetMode="External"/><Relationship Id="rId6" Type="http://schemas.openxmlformats.org/officeDocument/2006/relationships/hyperlink" Target="https://internet.garant.ru/document/redirect/70271682/3" TargetMode="External"/><Relationship Id="rId7" Type="http://schemas.openxmlformats.org/officeDocument/2006/relationships/hyperlink" Target="https://internet.garant.ru/document/redirect/70681384/1000" TargetMode="External"/><Relationship Id="rId8" Type="http://schemas.openxmlformats.org/officeDocument/2006/relationships/hyperlink" Target="http://www.state.kremlin.ru/" TargetMode="External"/><Relationship Id="rId9" Type="http://schemas.openxmlformats.org/officeDocument/2006/relationships/hyperlink" Target="https://internet.garant.ru/document/redirect/70271682/3" TargetMode="External"/><Relationship Id="rId10" Type="http://schemas.openxmlformats.org/officeDocument/2006/relationships/hyperlink" Target="https://internet.garant.ru/document/redirect/70271682/0" TargetMode="External"/><Relationship Id="rId11" Type="http://schemas.openxmlformats.org/officeDocument/2006/relationships/hyperlink" Target="https://internet.garant.ru/document/redirect/12164203/807" TargetMode="External"/><Relationship Id="rId12" Type="http://schemas.openxmlformats.org/officeDocument/2006/relationships/hyperlink" Target="https://internet.garant.ru/document/redirect/57413333/0" TargetMode="External"/><Relationship Id="rId13" Type="http://schemas.openxmlformats.org/officeDocument/2006/relationships/hyperlink" Target="https://internet.garant.ru/document/redirect/12164203/805"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102</TotalTime>
  <Application>LibreOffice/6.3.3.2$Windows_X86_64 LibreOffice_project/a64200df03143b798afd1ec74a12ab50359878ed</Application>
  <Pages>5</Pages>
  <Words>2021</Words>
  <CharactersWithSpaces>13515</CharactersWithSpaces>
  <Paragraphs>27</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2026-05-25T07:51:00Z</dcterms:created>
  <dc:creator>НПП "Гарант-Сервис"</dc:creator>
  <dc:description>Документ экспортирован из системы ГАРАНТ</dc:description>
  <dc:language>ru-RU</dc:language>
  <cp:lastModifiedBy>KorrupciiNET</cp:lastModifiedBy>
  <dcterms:modified xsi:type="dcterms:W3CDTF">2026-05-25T09:39:00Z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