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4820" w:hanging="0"/>
        <w:jc w:val="center"/>
        <w:outlineLvl w:val="1"/>
        <w:rPr/>
      </w:pPr>
      <w:r>
        <w:rPr>
          <w:rFonts w:cs="Times New Roman" w:ascii="Times New Roman" w:hAnsi="Times New Roman"/>
          <w:b/>
          <w:sz w:val="28"/>
          <w:szCs w:val="28"/>
        </w:rPr>
        <w:t>ПРИЛОЖЕНИЕ 1</w:t>
      </w:r>
    </w:p>
    <w:p>
      <w:pPr>
        <w:pStyle w:val="Normal"/>
        <w:numPr>
          <w:ilvl w:val="0"/>
          <w:numId w:val="0"/>
        </w:numPr>
        <w:ind w:left="4820" w:hanging="0"/>
        <w:jc w:val="center"/>
        <w:outlineLvl w:val="1"/>
        <w:rPr/>
      </w:pPr>
      <w:r>
        <w:rPr>
          <w:rFonts w:cs="Times New Roman" w:ascii="Times New Roman" w:hAnsi="Times New Roman"/>
          <w:sz w:val="28"/>
          <w:szCs w:val="28"/>
        </w:rPr>
        <w:t xml:space="preserve">к Порядку проведения оценки эффективности реализации муниципальных  Программ </w:t>
      </w:r>
      <w:bookmarkStart w:id="0" w:name="Par172"/>
      <w:bookmarkEnd w:id="0"/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Наименование муниципальной Программы: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Противодействие    терроризму  и   минимизация </w:t>
      </w:r>
      <w:r>
        <w:rPr>
          <w:bCs/>
          <w:sz w:val="28"/>
          <w:szCs w:val="28"/>
        </w:rPr>
        <w:t xml:space="preserve">(ликвидация) последствий проявления терроризма на  территории    Варненского муниципального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района Челябинской области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Ответственный исполнитель: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Style w:val="21"/>
          <w:rFonts w:eastAsia="Georgia"/>
        </w:rPr>
        <w:t>Администрация Варненского муниципального района Челябинской области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 xml:space="preserve">Отчетный год: </w:t>
      </w:r>
      <w:r>
        <w:rPr>
          <w:rFonts w:cs="Times New Roman" w:ascii="Times New Roman" w:hAnsi="Times New Roman"/>
          <w:sz w:val="28"/>
          <w:szCs w:val="28"/>
          <w:u w:val="single"/>
        </w:rPr>
        <w:t>2024 г.</w:t>
      </w:r>
    </w:p>
    <w:p>
      <w:pPr>
        <w:pStyle w:val="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Дата составления отчета:2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  <w:u w:val="single"/>
        </w:rPr>
        <w:t>.02.2025 год.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 xml:space="preserve">Должность, Ф.И.О., номер телефона, эл. адрес исполнителя: </w:t>
      </w:r>
    </w:p>
    <w:p>
      <w:pPr>
        <w:pStyle w:val="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Сидосенко Яна Олеговна, начальник отдела по делам ГО и ЧС, </w:t>
      </w:r>
      <w:hyperlink r:id="rId2" w:tgtFrame="mailto:varnagoichs@mail.ru">
        <w:r>
          <w:rPr>
            <w:rFonts w:cs="Times New Roman" w:ascii="Times New Roman" w:hAnsi="Times New Roman"/>
            <w:sz w:val="28"/>
            <w:szCs w:val="28"/>
            <w:u w:val="single"/>
            <w:lang w:val="en-US"/>
          </w:rPr>
          <w:t>varnagoichs</w:t>
        </w:r>
        <w:r>
          <w:rPr>
            <w:rFonts w:cs="Times New Roman" w:ascii="Times New Roman" w:hAnsi="Times New Roman"/>
            <w:sz w:val="28"/>
            <w:szCs w:val="28"/>
            <w:u w:val="single"/>
          </w:rPr>
          <w:t>@</w:t>
        </w:r>
        <w:r>
          <w:rPr>
            <w:rFonts w:cs="Times New Roman" w:ascii="Times New Roman" w:hAnsi="Times New Roman"/>
            <w:sz w:val="28"/>
            <w:szCs w:val="28"/>
            <w:u w:val="single"/>
            <w:lang w:val="en-US"/>
          </w:rPr>
          <w:t>mail</w:t>
        </w:r>
        <w:r>
          <w:rPr>
            <w:rFonts w:cs="Times New Roman" w:ascii="Times New Roman" w:hAnsi="Times New Roman"/>
            <w:sz w:val="28"/>
            <w:szCs w:val="28"/>
            <w:u w:val="single"/>
          </w:rPr>
          <w:t>.</w:t>
        </w:r>
        <w:r>
          <w:rPr>
            <w:rFonts w:cs="Times New Roman" w:ascii="Times New Roman" w:hAnsi="Times New Roman"/>
            <w:sz w:val="28"/>
            <w:szCs w:val="28"/>
            <w:u w:val="single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  <w:u w:val="single"/>
        </w:rPr>
        <w:t>, 8922-233-32-70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Основание для реализации МП: Постановление от 30.12.2022г. № 886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без изменений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Начальник отдела по делам ГО и ЧС администрации </w:t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Варненского муниципального района                                       Сидосенко Я. О.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(руководитель, ответственный исполнитель)                      подпись                            расшифровка подписи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</w:t>
      </w:r>
      <w:r>
        <w:rPr/>
        <w:t>. Основные результаты реализации муниципальной Программы, достигнутые в отчетном периоде:</w:t>
      </w:r>
    </w:p>
    <w:tbl>
      <w:tblPr>
        <w:tblW w:w="11337" w:type="dxa"/>
        <w:jc w:val="left"/>
        <w:tblInd w:w="-8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2"/>
        <w:gridCol w:w="3496"/>
        <w:gridCol w:w="3762"/>
        <w:gridCol w:w="349"/>
        <w:gridCol w:w="3157"/>
      </w:tblGrid>
      <w:tr>
        <w:trPr/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7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Цель</w:t>
            </w:r>
          </w:p>
        </w:tc>
        <w:tc>
          <w:tcPr>
            <w:tcW w:w="35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>
        <w:trPr/>
        <w:tc>
          <w:tcPr>
            <w:tcW w:w="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задачи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35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>
          <w:trHeight w:val="848" w:hRule="atLeast"/>
        </w:trPr>
        <w:tc>
          <w:tcPr>
            <w:tcW w:w="11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b/>
              </w:rPr>
              <w:t xml:space="preserve">Цель: </w:t>
            </w:r>
            <w:r>
              <w:rPr>
                <w:rStyle w:val="21"/>
                <w:rFonts w:eastAsia="Georgia"/>
              </w:rPr>
              <w:t>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области.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57" w:hanging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-Устранение предпосылок  и условий возникновения террористических и экстремистских проявлений;</w:t>
            </w:r>
          </w:p>
          <w:p>
            <w:pPr>
              <w:pStyle w:val="ConsPlusNormal"/>
              <w:widowControl w:val="false"/>
              <w:spacing w:lineRule="atLeast" w:line="240" w:before="0" w:after="0"/>
              <w:ind w:left="57" w:hanging="0"/>
              <w:contextualSpacing/>
              <w:rPr/>
            </w:pPr>
            <w:r>
              <w:rPr>
                <w:rStyle w:val="21"/>
                <w:rFonts w:eastAsia="Georgia"/>
              </w:rPr>
              <w:t>-совершенствование  информационно</w:t>
            </w:r>
          </w:p>
          <w:p>
            <w:pPr>
              <w:pStyle w:val="ConsPlusNormal"/>
              <w:widowControl w:val="false"/>
              <w:spacing w:lineRule="atLeast" w:line="240" w:before="0" w:after="0"/>
              <w:ind w:left="57" w:hanging="0"/>
              <w:contextualSpacing/>
              <w:rPr/>
            </w:pPr>
            <w:r>
              <w:rPr>
                <w:rStyle w:val="21"/>
                <w:rFonts w:eastAsia="Georgia"/>
              </w:rPr>
              <w:t>–</w:t>
            </w:r>
            <w:r>
              <w:rPr>
                <w:rStyle w:val="21"/>
                <w:rFonts w:eastAsia="Georgia"/>
              </w:rPr>
              <w:t>пропагандистской и воспитательной работы, направленной на профилактику и предупреждение террористических  проявлений.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tLeast" w:line="240" w:before="0" w:after="0"/>
              <w:ind w:hanging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1.Доля жителей Варненского муниципального района, охваченных мероприятиями 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</w:p>
          <w:p>
            <w:pPr>
              <w:pStyle w:val="ConsPlusNormal"/>
              <w:widowControl w:val="false"/>
              <w:spacing w:lineRule="atLeast" w:line="240" w:before="0" w:after="0"/>
              <w:ind w:hanging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  <w:p>
            <w:pPr>
              <w:pStyle w:val="ConsPlusNormal"/>
              <w:widowControl w:val="false"/>
              <w:spacing w:lineRule="atLeast" w:line="240" w:before="0" w:after="0"/>
              <w:ind w:hanging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 Доля муниципальных служащих, прошедших повышение квалификации по вопросам профилактики терроризма</w:t>
            </w:r>
          </w:p>
          <w:p>
            <w:pPr>
              <w:pStyle w:val="ConsPlusNormal"/>
              <w:widowControl w:val="false"/>
              <w:spacing w:lineRule="atLeast" w:line="240" w:before="0" w:after="0"/>
              <w:ind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bidi="ru-RU"/>
              </w:rPr>
              <w:t>4.Информирование населения по вопросам противодействия терроризму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240" w:before="0" w:after="0"/>
              <w:ind w:left="0" w:hanging="697"/>
              <w:contextualSpacing/>
              <w:rPr/>
            </w:pPr>
            <w:r>
              <w:rPr>
                <w:rStyle w:val="21"/>
                <w:rFonts w:eastAsia="Georgia"/>
              </w:rPr>
              <w:t>-повышение  эффективности борьбы с террористическими и             экстремистскими проявлениями;</w:t>
            </w:r>
          </w:p>
          <w:p>
            <w:pPr>
              <w:pStyle w:val="ListParagraph"/>
              <w:widowControl w:val="false"/>
              <w:spacing w:lineRule="atLeast" w:line="240" w:before="0" w:after="0"/>
              <w:ind w:left="0" w:hanging="0"/>
              <w:contextualSpacing/>
              <w:rPr/>
            </w:pPr>
            <w:r>
              <w:rPr>
                <w:rStyle w:val="21"/>
                <w:rFonts w:eastAsia="Georgia"/>
              </w:rPr>
              <w:t>-снижение социальной напряженности;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11337" w:type="dxa"/>
        <w:jc w:val="left"/>
        <w:tblInd w:w="-87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72"/>
        <w:gridCol w:w="3808"/>
        <w:gridCol w:w="993"/>
        <w:gridCol w:w="1482"/>
        <w:gridCol w:w="220"/>
        <w:gridCol w:w="1262"/>
        <w:gridCol w:w="1188"/>
        <w:gridCol w:w="1811"/>
      </w:tblGrid>
      <w:tr>
        <w:trPr/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4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Значения показателей (индикаторов)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>
        <w:trPr/>
        <w:tc>
          <w:tcPr>
            <w:tcW w:w="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8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год, предшест-вующий отчетному (факт)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отчетный год</w:t>
            </w:r>
          </w:p>
        </w:tc>
        <w:tc>
          <w:tcPr>
            <w:tcW w:w="18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8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План по программе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</w:t>
            </w:r>
          </w:p>
        </w:tc>
        <w:tc>
          <w:tcPr>
            <w:tcW w:w="18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7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/>
            </w:pPr>
            <w:r>
              <w:rPr>
                <w:rFonts w:cs="Times New Roman" w:ascii="Times New Roman" w:hAnsi="Times New Roman"/>
              </w:rPr>
              <w:t>муниципальная Программа</w:t>
            </w:r>
          </w:p>
        </w:tc>
      </w:tr>
      <w:tr>
        <w:trPr/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Доля жителей Варненского муниципального района, охваченных мероприятиями информационного характера о принимаемых органами власти мерах антитеррористического характера и правилах поведения в случае угрозы возникновения террористического акта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bookmarkStart w:id="1" w:name="_GoBack"/>
            <w:bookmarkEnd w:id="1"/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Доля муниципальных служащих, прошедших повышение квалификации по вопросам профилактики терроризма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numPr>
          <w:ilvl w:val="0"/>
          <w:numId w:val="0"/>
        </w:numPr>
        <w:ind w:left="4820" w:hanging="0"/>
        <w:jc w:val="right"/>
        <w:outlineLvl w:val="1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5513" w:type="dxa"/>
        <w:jc w:val="left"/>
        <w:tblInd w:w="-633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28"/>
        <w:gridCol w:w="3262"/>
        <w:gridCol w:w="1551"/>
        <w:gridCol w:w="255"/>
        <w:gridCol w:w="2589"/>
        <w:gridCol w:w="2969"/>
        <w:gridCol w:w="1427"/>
        <w:gridCol w:w="1559"/>
        <w:gridCol w:w="1271"/>
      </w:tblGrid>
      <w:tr>
        <w:trPr/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п/п*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Наименование мероприятий муниципальной Программы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Ответствен-ный исполнитель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Результаты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Выполнено/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выполнено</w:t>
            </w:r>
          </w:p>
        </w:tc>
      </w:tr>
      <w:tr>
        <w:trPr/>
        <w:tc>
          <w:tcPr>
            <w:tcW w:w="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начала реализации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реализации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запланиро-ванные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достигнутые</w:t>
            </w:r>
          </w:p>
        </w:tc>
        <w:tc>
          <w:tcPr>
            <w:tcW w:w="127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142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2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  <w:lang w:val="en-US"/>
              </w:rPr>
              <w:t>I</w:t>
            </w:r>
            <w:r>
              <w:rPr>
                <w:rFonts w:cs="Times New Roman" w:ascii="Times New Roman" w:hAnsi="Times New Roman"/>
                <w:b/>
              </w:rPr>
              <w:t>.</w:t>
            </w: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Устранение  предпосылок  и условий возникновения террористических и экстремистских проявлений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Осуществление комплекса мер по обеспечению правопорядка и общественной безопасности в период проведения массовых, праздничных мероприятий. Проведение обследования обеспечения пропускного режима, технической укрепленности, оснащенности средствами охранно - тревожной сигнализации и видеонаблюдения мест их проведения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МВД по Варненскому району;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района;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администрации сельских поселений.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 г.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Осуществление  мер  по усилению  безопасности населенных  пунктов  и мест массового пребывания людей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(разработка и корректировка паспортов безопасности  объектов с массовым пребыванием людей)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района, руководители учреждений, предприятий и организаций</w:t>
            </w:r>
          </w:p>
        </w:tc>
        <w:tc>
          <w:tcPr>
            <w:tcW w:w="2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 г.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155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. Совершенствование  информационно– пропагандистской и воспитательной работы, направленной на профилактику и предупреждение террористических  проявлений.</w:t>
            </w:r>
          </w:p>
        </w:tc>
      </w:tr>
      <w:tr>
        <w:trPr/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мероприятий по  обучению граждан навыкам безопасного поведения при возникновении чрезвычайных ситуаций, связанных с террористическими актами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МВД по Варненскому району;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района;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администрации сельских поселений,  Управление образования</w:t>
            </w:r>
          </w:p>
        </w:tc>
        <w:tc>
          <w:tcPr>
            <w:tcW w:w="2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2023 г.</w:t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2024 г.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заседаний районной антитеррористической комиссии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onsPlusNormal"/>
              <w:widowControl w:val="false"/>
              <w:spacing w:lineRule="auto" w:line="276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Антитеррористическая комиссия администрации района</w:t>
            </w:r>
          </w:p>
        </w:tc>
        <w:tc>
          <w:tcPr>
            <w:tcW w:w="2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155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</w:rPr>
              <w:t>Итого по Программе: 4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мероприятий, из них: 4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выполненных: 4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невыполненных: 0</w:t>
            </w:r>
          </w:p>
        </w:tc>
      </w:tr>
    </w:tbl>
    <w:p>
      <w:pPr>
        <w:pStyle w:val="Normal"/>
        <w:numPr>
          <w:ilvl w:val="0"/>
          <w:numId w:val="0"/>
        </w:numPr>
        <w:ind w:left="0" w:hanging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1"/>
        <w:rPr/>
      </w:pPr>
      <w:r>
        <w:rPr>
          <w:rFonts w:cs="Times New Roman" w:ascii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>
      <w:pPr>
        <w:pStyle w:val="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4924" w:type="dxa"/>
        <w:jc w:val="left"/>
        <w:tblInd w:w="-5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92"/>
        <w:gridCol w:w="2410"/>
        <w:gridCol w:w="2127"/>
        <w:gridCol w:w="1841"/>
        <w:gridCol w:w="1560"/>
        <w:gridCol w:w="2409"/>
        <w:gridCol w:w="3584"/>
      </w:tblGrid>
      <w:tr>
        <w:trPr/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 ресурсного 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Эффективность программы,  %</w:t>
            </w:r>
          </w:p>
        </w:tc>
        <w:tc>
          <w:tcPr>
            <w:tcW w:w="3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Причины отклонения фактического финансирования от   планового</w:t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</w:t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  <w:tc>
          <w:tcPr>
            <w:tcW w:w="358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</w:tr>
      <w:tr>
        <w:trPr/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="Georgia"/>
              </w:rPr>
              <w:t>Противодействие терроризму и минимизация (ликвидация) последствий проявления терроризма на территории Варненского муниципального района Челябинской области.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100%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</w:tr>
      <w:tr>
        <w:trPr/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областной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</w:tr>
      <w:tr>
        <w:trPr/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местный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100%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cs="Times New Roman" w:ascii="Times New Roman" w:hAnsi="Times New Roman"/>
                <w:color w:val="FF0000"/>
              </w:rPr>
            </w:r>
          </w:p>
        </w:tc>
      </w:tr>
    </w:tbl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vanish/>
          <w:sz w:val="28"/>
          <w:szCs w:val="28"/>
        </w:rPr>
      </w:r>
    </w:p>
    <w:p>
      <w:pPr>
        <w:pStyle w:val="Normal"/>
        <w:tabs>
          <w:tab w:val="clear" w:pos="709"/>
          <w:tab w:val="left" w:pos="4410" w:leader="none"/>
        </w:tabs>
        <w:rPr/>
      </w:pPr>
      <w:r>
        <w:rPr/>
      </w:r>
      <w:bookmarkStart w:id="2" w:name="_PictureBullets"/>
      <w:bookmarkStart w:id="3" w:name="_PictureBullets"/>
      <w:bookmarkEnd w:id="3"/>
    </w:p>
    <w:sectPr>
      <w:headerReference w:type="default" r:id="rId3"/>
      <w:headerReference w:type="first" r:id="rId4"/>
      <w:type w:val="nextPage"/>
      <w:pgSz w:orient="landscape" w:w="16838" w:h="11906"/>
      <w:pgMar w:left="1134" w:right="1134" w:gutter="0" w:header="709" w:top="1418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fldChar w:fldCharType="begin"/>
    </w:r>
    <w:r>
      <w:rPr>
        <w:rFonts w:cs="Times New Roman" w:ascii="Times New Roman" w:hAnsi="Times New Roman"/>
      </w:rPr>
      <w:instrText> PAGE </w:instrText>
    </w:r>
    <w:r>
      <w:rPr>
        <w:rFonts w:cs="Times New Roman" w:ascii="Times New Roman" w:hAnsi="Times New Roman"/>
      </w:rPr>
      <w:fldChar w:fldCharType="separate"/>
    </w:r>
    <w:r>
      <w:rPr>
        <w:rFonts w:cs="Times New Roman" w:ascii="Times New Roman" w:hAnsi="Times New Roman"/>
      </w:rPr>
      <w:t>6</w:t>
    </w:r>
    <w:r>
      <w:rPr>
        <w:rFonts w:cs="Times New Roman" w:ascii="Times New Roman" w:hAnsi="Times New Roman"/>
      </w:rPr>
      <w:fldChar w:fldCharType="end"/>
    </w:r>
  </w:p>
  <w:p>
    <w:pPr>
      <w:pStyle w:val="Style21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link w:val="14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4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basedOn w:val="DefaultParagraphFont"/>
    <w:link w:val="707"/>
    <w:uiPriority w:val="99"/>
    <w:qFormat/>
    <w:rPr/>
  </w:style>
  <w:style w:type="character" w:styleId="FooterChar">
    <w:name w:val="Footer Char"/>
    <w:basedOn w:val="DefaultParagraphFont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 w:customStyle="1">
    <w:name w:val="Интернет-ссылка"/>
    <w:rPr>
      <w:color w:val="000080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Основной текст (2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8"/>
      <w:u w:val="none"/>
      <w:lang w:val="ru-RU" w:eastAsia="ru-RU" w:bidi="ru-RU"/>
    </w:rPr>
  </w:style>
  <w:style w:type="character" w:styleId="211pt" w:customStyle="1">
    <w:name w:val="Основной текст (2) + 11 p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sz w:val="22"/>
      <w:szCs w:val="22"/>
      <w:u w:val="none"/>
      <w:lang w:val="ru-RU" w:eastAsia="ru-RU" w:bidi="ru-RU"/>
    </w:rPr>
  </w:style>
  <w:style w:type="character" w:styleId="WW8Num2z0" w:customStyle="1">
    <w:name w:val="WW8Num2z0"/>
    <w:qFormat/>
    <w:rPr>
      <w:rFonts w:eastAsia="Times New Roman" w:cs="Times New Roman"/>
      <w:sz w:val="28"/>
      <w:szCs w:val="28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paragraph" w:styleId="Style8" w:customStyle="1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/>
  </w:style>
  <w:style w:type="paragraph" w:styleId="Style1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1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Mangal"/>
      <w:color w:val="auto"/>
      <w:kern w:val="0"/>
      <w:sz w:val="24"/>
      <w:szCs w:val="24"/>
      <w:lang w:val="ru-RU" w:eastAsia="zh-CN" w:bidi="hi-IN"/>
    </w:rPr>
  </w:style>
  <w:style w:type="paragraph" w:styleId="Style13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 w:customStyle="1">
    <w:name w:val="Колонтитул"/>
    <w:basedOn w:val="Normal"/>
    <w:qFormat/>
    <w:pPr/>
    <w:rPr/>
  </w:style>
  <w:style w:type="paragraph" w:styleId="Style16">
    <w:name w:val="Footer"/>
    <w:basedOn w:val="Normal"/>
    <w:link w:val="47"/>
    <w:uiPriority w:val="99"/>
    <w:unhideWhenUsed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19">
    <w:name w:val="Index Heading"/>
    <w:basedOn w:val="Style8"/>
    <w:pPr/>
    <w:rPr/>
  </w:style>
  <w:style w:type="paragraph" w:styleId="Style20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0"/>
      <w:sz w:val="24"/>
      <w:szCs w:val="24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arnagoichs@mail.ru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LibreOffice/7.2.5.2$Windows_X86_64 LibreOffice_project/499f9727c189e6ef3471021d6132d4c694f357e5</Application>
  <AppVersion>15.0000</AppVersion>
  <Pages>6</Pages>
  <Words>702</Words>
  <Characters>5332</Characters>
  <CharactersWithSpaces>5997</CharactersWithSpaces>
  <Paragraphs>174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2025-02-24T11:25:11Z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