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line="240" w:lineRule="exact"/>
        <w:rPr>
          <w:rFonts w:eastAsiaTheme="minorHAnsi"/>
          <w:b/>
        </w:rPr>
      </w:pPr>
      <w:r>
        <w:rPr>
          <w:rFonts w:eastAsiaTheme="minorHAnsi"/>
          <w:b/>
        </w:rPr>
        <w:t xml:space="preserve">Перечень </w:t>
      </w:r>
      <w:r>
        <w:rPr>
          <w:rFonts w:eastAsiaTheme="minorHAnsi"/>
          <w:b/>
        </w:rPr>
        <w:br/>
        <w:t xml:space="preserve"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 </w:t>
      </w:r>
      <w:r>
        <w:rPr>
          <w:rFonts w:eastAsiaTheme="minorHAnsi"/>
          <w:b/>
        </w:rPr>
        <w:br/>
        <w:t xml:space="preserve">на территории МО, а также информация о мерах ответственности, применяемых при нарушении обязательных требований</w:t>
      </w:r>
      <w:r>
        <w:rPr>
          <w:rFonts w:eastAsiaTheme="minorHAnsi"/>
          <w:b/>
        </w:rPr>
      </w:r>
    </w:p>
    <w:p>
      <w:pPr>
        <w:contextualSpacing/>
        <w:jc w:val="center"/>
        <w:spacing w:line="240" w:lineRule="exact"/>
        <w:rPr>
          <w:rFonts w:eastAsiaTheme="minorHAnsi"/>
          <w:b/>
        </w:rPr>
      </w:pPr>
      <w:r>
        <w:rPr>
          <w:rFonts w:eastAsiaTheme="minorHAnsi"/>
          <w:b/>
        </w:rPr>
      </w:r>
      <w:r>
        <w:rPr>
          <w:rFonts w:eastAsiaTheme="minorHAnsi"/>
          <w:b/>
        </w:rPr>
      </w:r>
    </w:p>
    <w:p>
      <w:pPr>
        <w:contextualSpacing/>
        <w:jc w:val="center"/>
        <w:spacing w:line="240" w:lineRule="exact"/>
        <w:rPr>
          <w:rFonts w:eastAsiaTheme="minorHAnsi"/>
          <w:b/>
        </w:rPr>
      </w:pPr>
      <w:r>
        <w:rPr>
          <w:rFonts w:eastAsiaTheme="minorHAnsi"/>
          <w:b/>
        </w:rPr>
      </w:r>
      <w:r>
        <w:rPr>
          <w:rFonts w:eastAsiaTheme="minorHAnsi"/>
          <w:b/>
        </w:rPr>
      </w:r>
    </w:p>
    <w:tbl>
      <w:tblPr>
        <w:tblStyle w:val="681"/>
        <w:tblW w:w="14992" w:type="dxa"/>
        <w:tblLook w:val="04A0" w:firstRow="1" w:lastRow="0" w:firstColumn="1" w:lastColumn="0" w:noHBand="0" w:noVBand="1"/>
      </w:tblPr>
      <w:tblGrid>
        <w:gridCol w:w="540"/>
        <w:gridCol w:w="2051"/>
        <w:gridCol w:w="12401"/>
      </w:tblGrid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/п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Структурная единица</w:t>
            </w:r>
            <w:r>
              <w:rPr>
                <w:sz w:val="24"/>
                <w:szCs w:val="24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Текст нормативного правового акта, содержащего обязательные требования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4992" w:type="dxa"/>
            <w:textDirection w:val="lrTb"/>
            <w:noWrap w:val="false"/>
          </w:tcPr>
          <w:p>
            <w:pPr>
              <w:ind w:firstLine="459"/>
              <w:jc w:val="center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Земельный кодекс Российской Федерации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пункт 2 статьи 7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459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Земли, указанные в пункте 1 настоящей статьи, 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спользуются в соответствии с установленным для них целевым назначением.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использования.</w:t>
            </w:r>
            <w:bookmarkStart w:id="0" w:name="dst100063"/>
            <w:r/>
            <w:bookmarkEnd w:id="0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отношении земельного участка в соответствии с федеральным законом могут быть установлены один или несколько основны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х, условно разрешенных или вспомогательных видов разрешенного использования.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тветствии с настоящим Кодексом и законодательством о градостроительной деятельности. Правообладателем земельного участка по правилам, предусмотренным федеральным законом, может быть получено разрешение на условно разрешенный вид разрешенного использования.</w:t>
            </w:r>
            <w:bookmarkStart w:id="1" w:name="dst101118"/>
            <w:r/>
            <w:bookmarkEnd w:id="1"/>
            <w:r/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пункт 1 статьи 25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земельные участки, предусмотре</w:t>
            </w:r>
            <w:r>
              <w:rPr>
                <w:sz w:val="24"/>
                <w:szCs w:val="24"/>
              </w:rPr>
              <w:t xml:space="preserve">нные главами III и IV настоящего Кодекса,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"О государственной регистрации недвижимости".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пункт 1 статьи 26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земельные участки, предусмотренные главами III и IV настоящего Кодекса, удостоверяются документами в порядке, установленном Федеральным законом "О государственной регистрации недвижимости".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статья 42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Собственники земельных участков и лица, не являющиеся собственниками земельных участков, обязаны: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сохранять межевые, геодезические и другие специальные знаки, установленные на земельных участках в соответствии с законодательством;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осуществлять мероприятия по охране земель, лесов, водных объектов и других природных ресурсов, в том числе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меры пожарной безопасности;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своевременно приступать к использованию земельных участков в случаях, если сроки освоения земельных участков предусмотрены договорами;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своевременно производить платежи за землю;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соблюдать при использовании земельных участков требования градостроительных регламентов, стро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 допускать загрязнение, истощение, деградацию, порчу, уничтожение земель и почв и иное негативное воздействие на земли и почвы;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 препятствовать организации - собственнику объекта системы газоснабжения, нефтепровода или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аммиакопроводов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по предупреждению чрезвычайных ситуаций, по ликвидации последствий возникших на них аварий, катастроф;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45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выполнять иные требования, предусмотренные настоящим Кодексом, федеральными законами.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4992" w:type="dxa"/>
            <w:textDirection w:val="lrTb"/>
            <w:noWrap w:val="false"/>
          </w:tcPr>
          <w:p>
            <w:pPr>
              <w:ind w:firstLine="544"/>
              <w:jc w:val="center"/>
              <w:spacing w:before="120"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Гражданский кодекс Российской Федерации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пункты 1, 2 статьи 8.1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случаях, предусмотренных законом, права, закрепляющие принадлежность объекта гражданских прав определенному лицу, ограничения таких прав и обременения имущества (права на имущество) подлежат государственной регистрации.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регистрации, публичности и достоверности государственного реестра.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государственном реестре должны быть указаны данные, позволяющие определенно установить объект, на который устанавливается право,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управомоченное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лицо, содержание права, основание его возникновения.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случаях, предусмотренных законом, права, закрепляющие принадлежность объекта гражданских прав определенному лицу, ограничения таких прав и обременения имущества (права на имущество) подлежат государственной регистрации.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/>
            <w:bookmarkStart w:id="2" w:name="dst244"/>
            <w:r/>
            <w:bookmarkEnd w:id="2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регистрации, публичности и достоверности государственного реестра.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/>
            <w:bookmarkStart w:id="3" w:name="dst245"/>
            <w:r/>
            <w:bookmarkEnd w:id="3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государственном реестре должны быть указаны данные, позволяющие определенно установить объект, на который устанавливается право,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управомоченное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лицо, содержание права, основание его возникновения.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/>
            <w:bookmarkStart w:id="4" w:name="dst246"/>
            <w:r/>
            <w:bookmarkEnd w:id="4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3"/>
            <w:tcW w:w="14992" w:type="dxa"/>
            <w:textDirection w:val="lrTb"/>
            <w:noWrap w:val="false"/>
          </w:tcPr>
          <w:p>
            <w:pPr>
              <w:pStyle w:val="684"/>
              <w:spacing w:before="120" w:after="120" w:line="240" w:lineRule="auto"/>
              <w:shd w:val="clear" w:color="auto" w:fill="auto"/>
              <w:rPr>
                <w:b/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 xml:space="preserve">Федеральный закон от 25.10.2001 № 137-ФЗ «О введении в действие Земельного кодекса Российской Федерации»</w:t>
            </w:r>
            <w:r>
              <w:rPr>
                <w:b/>
                <w:spacing w:val="0"/>
                <w:sz w:val="24"/>
                <w:szCs w:val="24"/>
              </w:rPr>
            </w:r>
          </w:p>
        </w:tc>
      </w:tr>
      <w:tr>
        <w:tblPrEx/>
        <w:trPr>
          <w:trHeight w:val="3258"/>
        </w:trPr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п</w:t>
            </w:r>
            <w:r>
              <w:rPr>
                <w:rStyle w:val="683"/>
                <w:color w:val="auto"/>
                <w:spacing w:val="0"/>
              </w:rPr>
              <w:t xml:space="preserve">ункт 2 статьи 3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Юридические лица, за исключением указанных в пункте 2 статьи 39.9 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 главой V.1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кодекса Российской Федерации.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в соответствии с правилами, установленными настоящим абзацем, до 1 января 2016 года по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ценам, предусмотренным соответственно пунктами 1 и 2 статьи 2 настоящего Федерального закона.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9"/>
        </w:trPr>
        <w:tc>
          <w:tcPr>
            <w:gridSpan w:val="3"/>
            <w:tcW w:w="14992" w:type="dxa"/>
            <w:vAlign w:val="center"/>
            <w:textDirection w:val="lrTb"/>
            <w:noWrap w:val="false"/>
          </w:tcPr>
          <w:p>
            <w:pPr>
              <w:ind w:firstLine="547"/>
              <w:jc w:val="center"/>
              <w:shd w:val="clear" w:color="auto" w:fill="ffffff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Меры ответственности,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center"/>
              <w:shd w:val="clear" w:color="auto" w:fill="ffffff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применяемые при нарушении обязательных требований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земельного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законодательства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center"/>
              <w:shd w:val="clear" w:color="auto" w:fill="ffffff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44"/>
        </w:trPr>
        <w:tc>
          <w:tcPr>
            <w:gridSpan w:val="3"/>
            <w:tcW w:w="14992" w:type="dxa"/>
            <w:textDirection w:val="lrTb"/>
            <w:noWrap w:val="false"/>
          </w:tcPr>
          <w:p>
            <w:pPr>
              <w:ind w:firstLine="547"/>
              <w:jc w:val="center"/>
              <w:shd w:val="clear" w:color="auto" w:fill="ffffff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Кодекс Российской Федерации об административных правонарушениях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статья 7.1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-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влечет наложение административного штрафа в случае, если определена кадастровая стоимость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</w:t>
            </w:r>
            <w:bookmarkStart w:id="5" w:name="_GoBack"/>
            <w:r/>
            <w:bookmarkEnd w:id="5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лжностных лиц - от двадцати тысяч до пятидесяти тысяч рублей; на юридических лиц - от ста тысяч до двухсот тысяч рублей.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часть 3 статьи 7.2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Уничтожение, повреждение или снос пунктов государственных геодезических сетей, пунктов геодезических сетей специального назначен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ия либо стационарных пунктов наблюдений за состоянием окружающей среды и ее загрязнением, входящих в государственную наблюдательную сеть, либо нарушение режима охранной зоны стационарных пунктов наблюдений за состоянием окружающей среды и ее загрязнением -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влечет наложение административного штрафа на граждан в размере от пяти тысяч до десяти тысяч рублей; 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должностных лиц - от десяти тысяч до пятидесяти тысяч рублей; на юридических лиц - от пятидесяти тысяч до двухсот тысяч рублей.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статья 7.34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Использование земельного участка на прав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 постоянного (бессрочного) пользования юридическим лицом,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собственность, -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влечет наложение административного штрафа в размере от двадцати тысяч до ста тысяч рублей.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часть 1 статьи 8.8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за исключением случаев, предусмотренных частями 2, 2.1 и 3 настоящей статьи, -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влечет наложение административного штрафа в случае, если определена кадастровая стоимость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земельного участка, на граждан в размере от 0,5 до 1 процента кадастровой стоимости земельного участка, но не менее десяти тысяч рублей; на должностных лиц - от 1 до 1,5 процента кадастровой стоимости земельного участка, но не менее двадцати тысяч рублей;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юридических лиц - от 1,5 до 2 процентов кадастровой стоимости земельного участка, но не менее ста тысяч рублей, а в 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лучае, если не определена кадастровая стоимость земельного участка, на граждан в размере от десяти тысяч до двадцати тысяч рублей; на должностных лиц - от двадцати тысяч до пятидесяти тысяч рублей; на юридических лиц - от ста тысяч до двухсот тысяч рублей.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051" w:type="dxa"/>
            <w:textDirection w:val="lrTb"/>
            <w:noWrap w:val="false"/>
          </w:tcPr>
          <w:p>
            <w:pPr>
              <w:pStyle w:val="684"/>
              <w:jc w:val="left"/>
              <w:spacing w:before="0" w:after="0" w:line="240" w:lineRule="auto"/>
              <w:shd w:val="clear" w:color="auto" w:fill="auto"/>
              <w:rPr>
                <w:rStyle w:val="683"/>
                <w:color w:val="auto"/>
                <w:spacing w:val="0"/>
              </w:rPr>
            </w:pPr>
            <w:r>
              <w:rPr>
                <w:rStyle w:val="683"/>
                <w:color w:val="auto"/>
                <w:spacing w:val="0"/>
              </w:rPr>
              <w:t xml:space="preserve">часть 3 </w:t>
            </w:r>
            <w:r>
              <w:rPr>
                <w:rStyle w:val="683"/>
                <w:color w:val="auto"/>
                <w:spacing w:val="0"/>
              </w:rPr>
              <w:t xml:space="preserve">статьи 8.8</w:t>
            </w:r>
            <w:r>
              <w:rPr>
                <w:rStyle w:val="683"/>
                <w:color w:val="auto"/>
                <w:spacing w:val="0"/>
              </w:rPr>
            </w:r>
          </w:p>
        </w:tc>
        <w:tc>
          <w:tcPr>
            <w:tcW w:w="12401" w:type="dxa"/>
            <w:textDirection w:val="lrTb"/>
            <w:noWrap w:val="false"/>
          </w:tcPr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Неиспользование земе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законом, -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7"/>
              <w:jc w:val="both"/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влечет наложение административного штрафа в случае, если определена кадастровая стоимость земел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юридических лиц - от 3 до 5 процентов кадастровой стоимости земельного участка, но не менее четырехсот тысяч рублей, а в случае,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8"/>
      <w:footnotePr/>
      <w:endnotePr/>
      <w:type w:val="nextPage"/>
      <w:pgSz w:w="16838" w:h="11906" w:orient="landscape"/>
      <w:pgMar w:top="1135" w:right="1134" w:bottom="851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02677971"/>
      <w:docPartObj>
        <w:docPartGallery w:val="Page Numbers (Top of Page)"/>
        <w:docPartUnique w:val="true"/>
      </w:docPartObj>
      <w:rPr>
        <w:sz w:val="24"/>
        <w:szCs w:val="24"/>
      </w:rPr>
    </w:sdtPr>
    <w:sdtContent>
      <w:p>
        <w:pPr>
          <w:pStyle w:val="690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3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</w:p>
    </w:sdtContent>
  </w:sdt>
  <w:p>
    <w:pPr>
      <w:pStyle w:val="6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7"/>
    <w:next w:val="67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690"/>
    <w:uiPriority w:val="99"/>
  </w:style>
  <w:style w:type="character" w:styleId="45">
    <w:name w:val="Footer Char"/>
    <w:basedOn w:val="678"/>
    <w:link w:val="692"/>
    <w:uiPriority w:val="99"/>
  </w:style>
  <w:style w:type="paragraph" w:styleId="46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2"/>
    <w:uiPriority w:val="99"/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8"/>
    <w:uiPriority w:val="99"/>
    <w:unhideWhenUsed/>
    <w:rPr>
      <w:vertAlign w:val="superscript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rPr>
      <w:rFonts w:eastAsia="Calibri"/>
      <w:szCs w:val="28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table" w:styleId="681">
    <w:name w:val="Table Grid"/>
    <w:basedOn w:val="679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82" w:customStyle="1">
    <w:name w:val="Основной текст_"/>
    <w:basedOn w:val="678"/>
    <w:link w:val="684"/>
    <w:rPr>
      <w:rFonts w:eastAsia="Times New Roman"/>
      <w:spacing w:val="9"/>
      <w:shd w:val="clear" w:color="auto" w:fill="ffffff"/>
    </w:rPr>
  </w:style>
  <w:style w:type="character" w:styleId="683" w:customStyle="1">
    <w:name w:val="Основной текст1"/>
    <w:basedOn w:val="682"/>
    <w:rPr>
      <w:rFonts w:eastAsia="Times New Roman"/>
      <w:color w:val="000000"/>
      <w:spacing w:val="9"/>
      <w:position w:val="0"/>
      <w:sz w:val="24"/>
      <w:szCs w:val="24"/>
      <w:shd w:val="clear" w:color="auto" w:fill="ffffff"/>
      <w:lang w:val="ru-RU"/>
    </w:rPr>
  </w:style>
  <w:style w:type="paragraph" w:styleId="684" w:customStyle="1">
    <w:name w:val="Основной текст2"/>
    <w:basedOn w:val="677"/>
    <w:link w:val="682"/>
    <w:pPr>
      <w:jc w:val="center"/>
      <w:spacing w:before="600" w:after="60" w:line="0" w:lineRule="atLeast"/>
      <w:shd w:val="clear" w:color="auto" w:fill="ffffff"/>
      <w:widowControl w:val="off"/>
    </w:pPr>
    <w:rPr>
      <w:rFonts w:eastAsia="Times New Roman"/>
      <w:spacing w:val="9"/>
      <w:szCs w:val="22"/>
    </w:rPr>
  </w:style>
  <w:style w:type="character" w:styleId="685" w:customStyle="1">
    <w:name w:val="blk"/>
    <w:basedOn w:val="678"/>
  </w:style>
  <w:style w:type="character" w:styleId="686" w:customStyle="1">
    <w:name w:val="apple-converted-space"/>
    <w:basedOn w:val="678"/>
  </w:style>
  <w:style w:type="character" w:styleId="687">
    <w:name w:val="Hyperlink"/>
    <w:basedOn w:val="678"/>
    <w:uiPriority w:val="99"/>
    <w:semiHidden/>
    <w:unhideWhenUsed/>
    <w:rPr>
      <w:color w:val="0000ff"/>
      <w:u w:val="single"/>
    </w:rPr>
  </w:style>
  <w:style w:type="character" w:styleId="688" w:customStyle="1">
    <w:name w:val="s_10"/>
    <w:basedOn w:val="678"/>
  </w:style>
  <w:style w:type="paragraph" w:styleId="689" w:customStyle="1">
    <w:name w:val="s_1"/>
    <w:basedOn w:val="67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690">
    <w:name w:val="Header"/>
    <w:basedOn w:val="677"/>
    <w:link w:val="6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1" w:customStyle="1">
    <w:name w:val="Верхний колонтитул Знак"/>
    <w:basedOn w:val="678"/>
    <w:link w:val="690"/>
    <w:uiPriority w:val="99"/>
    <w:rPr>
      <w:rFonts w:eastAsia="Calibri"/>
      <w:szCs w:val="28"/>
    </w:rPr>
  </w:style>
  <w:style w:type="paragraph" w:styleId="692">
    <w:name w:val="Footer"/>
    <w:basedOn w:val="677"/>
    <w:link w:val="6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3" w:customStyle="1">
    <w:name w:val="Нижний колонтитул Знак"/>
    <w:basedOn w:val="678"/>
    <w:link w:val="692"/>
    <w:uiPriority w:val="99"/>
    <w:rPr>
      <w:rFonts w:eastAsia="Calibri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6E88-DCB0-4FAF-A9E7-602DE568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Анохин Сергей Анатольевич</dc:creator>
  <cp:lastModifiedBy>Алексей Пахомов</cp:lastModifiedBy>
  <cp:revision>5</cp:revision>
  <dcterms:created xsi:type="dcterms:W3CDTF">2023-02-02T07:40:00Z</dcterms:created>
  <dcterms:modified xsi:type="dcterms:W3CDTF">2024-07-22T18:34:24Z</dcterms:modified>
</cp:coreProperties>
</file>