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F0" w:rsidRDefault="00E01DF0"/>
    <w:p w:rsidR="008F1F00" w:rsidRDefault="008F1F00"/>
    <w:p w:rsidR="00FD206C" w:rsidRPr="00FD206C" w:rsidRDefault="008F1F00" w:rsidP="00FD206C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lang w:eastAsia="en-US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06C" w:rsidRPr="00FD206C">
        <w:rPr>
          <w:rFonts w:ascii="Times New Roman" w:hAnsi="Times New Roman"/>
          <w:b/>
          <w:color w:val="00000A"/>
          <w:sz w:val="28"/>
          <w:szCs w:val="28"/>
          <w:lang w:eastAsia="en-US"/>
        </w:rPr>
        <w:t>«Исполнение муниципальной программы «</w:t>
      </w:r>
      <w:r w:rsidR="00FD206C" w:rsidRPr="00FD206C">
        <w:rPr>
          <w:rFonts w:ascii="Times New Roman" w:hAnsi="Times New Roman" w:cs="Times New Roman"/>
          <w:b/>
          <w:bCs/>
          <w:color w:val="00000A"/>
          <w:sz w:val="28"/>
          <w:szCs w:val="28"/>
          <w:lang w:eastAsia="en-US"/>
        </w:rPr>
        <w:t xml:space="preserve">Приобретение служебных жилых помещений в муниципальную собственность </w:t>
      </w:r>
      <w:proofErr w:type="spellStart"/>
      <w:r w:rsidR="00FD206C" w:rsidRPr="00FD206C">
        <w:rPr>
          <w:rFonts w:ascii="Times New Roman" w:hAnsi="Times New Roman" w:cs="Times New Roman"/>
          <w:b/>
          <w:bCs/>
          <w:color w:val="00000A"/>
          <w:sz w:val="28"/>
          <w:szCs w:val="28"/>
          <w:lang w:eastAsia="en-US"/>
        </w:rPr>
        <w:t>Варненского</w:t>
      </w:r>
      <w:proofErr w:type="spellEnd"/>
      <w:r w:rsidR="00FD206C" w:rsidRPr="00FD206C">
        <w:rPr>
          <w:rFonts w:ascii="Times New Roman" w:hAnsi="Times New Roman" w:cs="Times New Roman"/>
          <w:b/>
          <w:bCs/>
          <w:color w:val="00000A"/>
          <w:sz w:val="28"/>
          <w:szCs w:val="28"/>
          <w:lang w:eastAsia="en-US"/>
        </w:rPr>
        <w:t xml:space="preserve"> муниципального района на 2018-2020 годы» за период с 01.01.2018г. по 30.06.2019г.»</w:t>
      </w:r>
      <w:r w:rsidR="00FD206C" w:rsidRPr="00FD206C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eastAsia="en-US"/>
        </w:rPr>
        <w:t xml:space="preserve"> </w:t>
      </w:r>
    </w:p>
    <w:p w:rsidR="002F4F4A" w:rsidRPr="007439E8" w:rsidRDefault="002F4F4A" w:rsidP="002F4F4A">
      <w:pPr>
        <w:spacing w:after="0" w:line="240" w:lineRule="auto"/>
        <w:rPr>
          <w:rFonts w:cs="Times New Roman"/>
          <w:b/>
          <w:szCs w:val="28"/>
        </w:rPr>
      </w:pPr>
    </w:p>
    <w:p w:rsidR="002F4F4A" w:rsidRDefault="002F4F4A" w:rsidP="002F4F4A">
      <w:pPr>
        <w:pStyle w:val="Style59"/>
        <w:widowControl/>
        <w:jc w:val="left"/>
        <w:rPr>
          <w:b/>
          <w:color w:val="FF0000"/>
          <w:sz w:val="28"/>
          <w:szCs w:val="28"/>
        </w:rPr>
      </w:pPr>
    </w:p>
    <w:p w:rsidR="00917323" w:rsidRPr="00190CDD" w:rsidRDefault="00894A97" w:rsidP="002F4F4A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FD206C" w:rsidRPr="00FD206C" w:rsidRDefault="00FD206C" w:rsidP="00FD206C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Муниципальная программа «Приобретение служебных жилых помещений в муниципальную собственность </w:t>
      </w:r>
      <w:proofErr w:type="spellStart"/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на 2018-2020 годы» (далее по тексту Программа) утверждена постановлением администрации </w:t>
      </w:r>
      <w:proofErr w:type="spellStart"/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 от 21.08.2018г. № 537.</w:t>
      </w:r>
    </w:p>
    <w:p w:rsidR="00FD206C" w:rsidRPr="00FD206C" w:rsidRDefault="00FD206C" w:rsidP="00FD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Ответственный исполнитель Программы – Управление по имущественной политике и координации деятельности в сфере государственных и муниципальных услуг администрации </w:t>
      </w:r>
      <w:proofErr w:type="spellStart"/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>Варненского</w:t>
      </w:r>
      <w:proofErr w:type="spellEnd"/>
      <w:r w:rsidRPr="00FD206C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FD206C" w:rsidRDefault="00FD206C" w:rsidP="00FD2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D206C">
        <w:rPr>
          <w:rFonts w:ascii="Times New Roman" w:hAnsi="Times New Roman"/>
          <w:sz w:val="28"/>
          <w:szCs w:val="28"/>
          <w:lang w:eastAsia="en-US"/>
        </w:rPr>
        <w:t xml:space="preserve">Программа разработана в целях </w:t>
      </w:r>
      <w:proofErr w:type="gramStart"/>
      <w:r w:rsidRPr="00FD206C">
        <w:rPr>
          <w:rFonts w:ascii="Times New Roman" w:hAnsi="Times New Roman"/>
          <w:sz w:val="28"/>
          <w:szCs w:val="28"/>
          <w:lang w:eastAsia="en-US"/>
        </w:rPr>
        <w:t>создания системы муниципальной поддержки отдельных категорий граждан бюджетной</w:t>
      </w:r>
      <w:proofErr w:type="gramEnd"/>
      <w:r w:rsidRPr="00FD206C">
        <w:rPr>
          <w:rFonts w:ascii="Times New Roman" w:hAnsi="Times New Roman"/>
          <w:sz w:val="28"/>
          <w:szCs w:val="28"/>
          <w:lang w:eastAsia="en-US"/>
        </w:rPr>
        <w:t xml:space="preserve"> сферы, в том числе муниципальных служащих, в решении жилищной проблемы (улучшении жилищных условий), а так же в целях сохранения квалифицированных кадров.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7C24">
        <w:rPr>
          <w:rFonts w:ascii="Times New Roman" w:hAnsi="Times New Roman"/>
          <w:sz w:val="28"/>
          <w:szCs w:val="28"/>
          <w:lang w:eastAsia="en-US"/>
        </w:rPr>
        <w:t xml:space="preserve">Целью Управления является эффективное управление и распоряжение муниципальным имуществом и обеспечение защиты интересов </w:t>
      </w:r>
      <w:proofErr w:type="spellStart"/>
      <w:r w:rsidRPr="00EB7C24">
        <w:rPr>
          <w:rFonts w:ascii="Times New Roman" w:hAnsi="Times New Roman"/>
          <w:sz w:val="28"/>
          <w:szCs w:val="28"/>
          <w:lang w:eastAsia="en-US"/>
        </w:rPr>
        <w:t>Варненского</w:t>
      </w:r>
      <w:proofErr w:type="spellEnd"/>
      <w:r w:rsidRPr="00EB7C2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в сфере имущественных и земельных отношений.</w:t>
      </w:r>
    </w:p>
    <w:p w:rsid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hAnsi="Times New Roman"/>
          <w:sz w:val="28"/>
          <w:szCs w:val="28"/>
          <w:lang w:eastAsia="en-US"/>
        </w:rPr>
        <w:t>В пределах своей компетенции Управление ведет учет объектов муниципальной собственности, формирует и ведет единый реестр муниципальной собственности. В данный р</w:t>
      </w:r>
      <w:r w:rsidRPr="00EB7C24">
        <w:rPr>
          <w:rFonts w:ascii="Times New Roman" w:hAnsi="Times New Roman"/>
          <w:sz w:val="28"/>
          <w:lang w:eastAsia="en-US"/>
        </w:rPr>
        <w:t>еестр ежемесячно вносятся изменения по состоянию на 1 число месяца.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hAnsi="Times New Roman"/>
          <w:sz w:val="28"/>
          <w:szCs w:val="28"/>
          <w:lang w:eastAsia="en-US"/>
        </w:rPr>
        <w:t xml:space="preserve">Порядок предоставления жилых помещений муниципального специализированного жилищного фонда </w:t>
      </w:r>
      <w:proofErr w:type="spellStart"/>
      <w:r w:rsidRPr="00EB7C24">
        <w:rPr>
          <w:rFonts w:ascii="Times New Roman" w:hAnsi="Times New Roman"/>
          <w:sz w:val="28"/>
          <w:szCs w:val="28"/>
          <w:lang w:eastAsia="en-US"/>
        </w:rPr>
        <w:t>Варненского</w:t>
      </w:r>
      <w:proofErr w:type="spellEnd"/>
      <w:r w:rsidRPr="00EB7C2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регламентируется Положением "О порядке предоставления жилых помещений специализированного жилищного фонда </w:t>
      </w:r>
      <w:proofErr w:type="spellStart"/>
      <w:r w:rsidRPr="00EB7C24">
        <w:rPr>
          <w:rFonts w:ascii="Times New Roman" w:hAnsi="Times New Roman"/>
          <w:sz w:val="28"/>
          <w:szCs w:val="28"/>
          <w:lang w:eastAsia="en-US"/>
        </w:rPr>
        <w:t>Варненского</w:t>
      </w:r>
      <w:proofErr w:type="spellEnd"/>
      <w:r w:rsidRPr="00EB7C2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района" (далее по тексту Положение), утвержденным решением Собрания депутатов </w:t>
      </w:r>
      <w:proofErr w:type="spellStart"/>
      <w:r w:rsidRPr="00EB7C24">
        <w:rPr>
          <w:rFonts w:ascii="Times New Roman" w:hAnsi="Times New Roman"/>
          <w:sz w:val="28"/>
          <w:szCs w:val="28"/>
          <w:lang w:eastAsia="en-US"/>
        </w:rPr>
        <w:t>Варненского</w:t>
      </w:r>
      <w:proofErr w:type="spellEnd"/>
      <w:r w:rsidRPr="00EB7C2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Челябинской области от 18.02.2016г. №14 (с изменениями от 18.07.2018г. №54).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hAnsi="Times New Roman"/>
          <w:sz w:val="28"/>
          <w:szCs w:val="28"/>
          <w:lang w:eastAsia="en-US"/>
        </w:rPr>
        <w:t xml:space="preserve">Согласно Положению, служебные жилые помещения предоставляются на срок осуществления трудовых отношений и предназначены для проживания граждан в связи с характером их трудовых отношений с органом местного самоуправления, муниципальным предприятием и учреждением в связи с прохождением службы либо в связи с избранием в органы местного самоуправления </w:t>
      </w:r>
      <w:proofErr w:type="spellStart"/>
      <w:r w:rsidRPr="00EB7C24">
        <w:rPr>
          <w:rFonts w:ascii="Times New Roman" w:hAnsi="Times New Roman"/>
          <w:sz w:val="28"/>
          <w:szCs w:val="28"/>
          <w:lang w:eastAsia="en-US"/>
        </w:rPr>
        <w:t>Варненского</w:t>
      </w:r>
      <w:proofErr w:type="spellEnd"/>
      <w:r w:rsidRPr="00EB7C2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EB7C24">
        <w:rPr>
          <w:rFonts w:ascii="Times New Roman" w:hAnsi="Times New Roman"/>
          <w:sz w:val="28"/>
          <w:szCs w:val="28"/>
          <w:lang w:eastAsia="en-US"/>
        </w:rPr>
        <w:lastRenderedPageBreak/>
        <w:t>Согласно пункту 1 статьи 2 Положения принятие на учет граждан, нуждающихся в жилых помещениях специализированного жилищного фонда, осуществляется на основании личных заявлений граждан, поданных ими в уполномоченный орган, с приложением необходимых документов.</w:t>
      </w:r>
    </w:p>
    <w:p w:rsid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7C24">
        <w:rPr>
          <w:rFonts w:ascii="Times New Roman" w:hAnsi="Times New Roman"/>
          <w:sz w:val="28"/>
          <w:szCs w:val="28"/>
          <w:lang w:eastAsia="en-US"/>
        </w:rPr>
        <w:t>На основании решения о предоставление жилого помещения специализированного жилищного фонда с гражданином заключается договор найма специализированного жилого помещения. Все договоры регистрируются Управлением в журнале регистрации договоров служебного жилищного фонда.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eastAsia="Times New Roman" w:hAnsi="Times New Roman" w:cs="Times New Roman"/>
          <w:sz w:val="28"/>
          <w:lang w:eastAsia="en-US"/>
        </w:rPr>
        <w:t xml:space="preserve">Согласно Порядку принятия решений для обеспечения мониторинга хода реализации Программы Управление ежеквартально </w:t>
      </w:r>
      <w:proofErr w:type="gramStart"/>
      <w:r w:rsidRPr="00EB7C24">
        <w:rPr>
          <w:rFonts w:ascii="Times New Roman" w:eastAsia="Times New Roman" w:hAnsi="Times New Roman" w:cs="Times New Roman"/>
          <w:sz w:val="28"/>
          <w:lang w:eastAsia="en-US"/>
        </w:rPr>
        <w:t>предоставляет отчет</w:t>
      </w:r>
      <w:proofErr w:type="gramEnd"/>
      <w:r w:rsidRPr="00EB7C24">
        <w:rPr>
          <w:rFonts w:ascii="Times New Roman" w:eastAsia="Times New Roman" w:hAnsi="Times New Roman" w:cs="Times New Roman"/>
          <w:sz w:val="28"/>
          <w:lang w:eastAsia="en-US"/>
        </w:rPr>
        <w:t xml:space="preserve"> о ходе выполнения муниципальной программы в комитет экономики Администрации </w:t>
      </w:r>
      <w:proofErr w:type="spellStart"/>
      <w:r w:rsidRPr="00EB7C24">
        <w:rPr>
          <w:rFonts w:ascii="Times New Roman" w:eastAsia="Times New Roman" w:hAnsi="Times New Roman" w:cs="Times New Roman"/>
          <w:sz w:val="28"/>
          <w:lang w:eastAsia="en-US"/>
        </w:rPr>
        <w:t>Варненского</w:t>
      </w:r>
      <w:proofErr w:type="spellEnd"/>
      <w:r w:rsidRPr="00EB7C24"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района.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EB7C24">
        <w:rPr>
          <w:rFonts w:ascii="Times New Roman" w:eastAsia="Times New Roman" w:hAnsi="Times New Roman" w:cs="Times New Roman"/>
          <w:sz w:val="28"/>
          <w:lang w:eastAsia="en-US"/>
        </w:rPr>
        <w:t xml:space="preserve">Согласно пункту 7.2 Порядка принятия решений о разработке программ комитет экономики Администрации </w:t>
      </w:r>
      <w:proofErr w:type="spellStart"/>
      <w:r w:rsidRPr="00EB7C24">
        <w:rPr>
          <w:rFonts w:ascii="Times New Roman" w:eastAsia="Times New Roman" w:hAnsi="Times New Roman" w:cs="Times New Roman"/>
          <w:sz w:val="28"/>
          <w:lang w:eastAsia="en-US"/>
        </w:rPr>
        <w:t>Варненского</w:t>
      </w:r>
      <w:proofErr w:type="spellEnd"/>
      <w:r w:rsidRPr="00EB7C24"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района организует и ведет общий мониторинг программ. Ежеквартально Управление (ответственный исполнитель) направляет в комитет экономики Администрации </w:t>
      </w:r>
      <w:proofErr w:type="spellStart"/>
      <w:r w:rsidRPr="00EB7C24">
        <w:rPr>
          <w:rFonts w:ascii="Times New Roman" w:eastAsia="Times New Roman" w:hAnsi="Times New Roman" w:cs="Times New Roman"/>
          <w:sz w:val="28"/>
          <w:lang w:eastAsia="en-US"/>
        </w:rPr>
        <w:t>Варненского</w:t>
      </w:r>
      <w:proofErr w:type="spellEnd"/>
      <w:r w:rsidRPr="00EB7C24">
        <w:rPr>
          <w:rFonts w:ascii="Times New Roman" w:eastAsia="Times New Roman" w:hAnsi="Times New Roman" w:cs="Times New Roman"/>
          <w:sz w:val="28"/>
          <w:lang w:eastAsia="en-US"/>
        </w:rPr>
        <w:t xml:space="preserve"> муниципального района отчет о ходе реализации программы. Сводные ежеквартальные и годовые отчеты должны составляться для принятия решений в отношении программ со сроком действия более одного года в зависимости от эффективности их реализации: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eastAsia="Times New Roman" w:hAnsi="Times New Roman" w:cs="Times New Roman"/>
          <w:sz w:val="28"/>
          <w:lang w:eastAsia="en-US"/>
        </w:rPr>
        <w:t>- об увеличении бюджетных ассигнований на реализацию программы;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eastAsia="Times New Roman" w:hAnsi="Times New Roman" w:cs="Times New Roman"/>
          <w:sz w:val="28"/>
          <w:lang w:eastAsia="en-US"/>
        </w:rPr>
        <w:t>- о сокращении бюджетных ассигнований на реализацию программы;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eastAsia="Times New Roman" w:hAnsi="Times New Roman" w:cs="Times New Roman"/>
          <w:sz w:val="28"/>
          <w:lang w:eastAsia="en-US"/>
        </w:rPr>
        <w:t>- о досрочном прекращении реализации программы;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EB7C24">
        <w:rPr>
          <w:rFonts w:ascii="Times New Roman" w:eastAsia="Times New Roman" w:hAnsi="Times New Roman" w:cs="Times New Roman"/>
          <w:sz w:val="28"/>
          <w:lang w:eastAsia="en-US"/>
        </w:rPr>
        <w:t>- о продолжении финансирования в запланированном порядке.</w:t>
      </w:r>
    </w:p>
    <w:p w:rsidR="00EB7C24" w:rsidRPr="00EB7C24" w:rsidRDefault="00EB7C24" w:rsidP="00EB7C2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</w:p>
    <w:p w:rsidR="00B574C4" w:rsidRPr="00B574C4" w:rsidRDefault="008664C9" w:rsidP="00B574C4">
      <w:pPr>
        <w:spacing w:after="0" w:line="240" w:lineRule="auto"/>
        <w:rPr>
          <w:rFonts w:ascii="Times New Roman" w:hAnsi="Times New Roman"/>
          <w:sz w:val="28"/>
          <w:lang w:eastAsia="en-US"/>
        </w:rPr>
      </w:pPr>
      <w:r w:rsidRPr="002A1B6A">
        <w:rPr>
          <w:rFonts w:ascii="Times New Roman" w:hAnsi="Times New Roman"/>
          <w:szCs w:val="28"/>
        </w:rPr>
        <w:t>1. </w:t>
      </w:r>
      <w:r w:rsidR="00B574C4"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В ходе экспертно-аналитического мероприятия исполнения муниципальной программы объем проверенных бюджетных средств составил </w:t>
      </w:r>
      <w:r w:rsidR="00B574C4" w:rsidRPr="00B574C4">
        <w:rPr>
          <w:rFonts w:ascii="Times New Roman" w:eastAsia="MS Mincho" w:hAnsi="Times New Roman" w:cs="Times New Roman"/>
          <w:b/>
          <w:bCs/>
          <w:sz w:val="28"/>
          <w:szCs w:val="28"/>
          <w:lang w:eastAsia="en-US"/>
        </w:rPr>
        <w:t>3200000,00</w:t>
      </w:r>
      <w:r w:rsidR="00B574C4" w:rsidRPr="00B574C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 xml:space="preserve"> рублей.</w:t>
      </w:r>
    </w:p>
    <w:p w:rsidR="008664C9" w:rsidRPr="000854E3" w:rsidRDefault="008664C9" w:rsidP="00B574C4">
      <w:pPr>
        <w:pStyle w:val="a6"/>
        <w:jc w:val="both"/>
        <w:rPr>
          <w:rFonts w:ascii="Times New Roman" w:hAnsi="Times New Roman"/>
          <w:color w:val="auto"/>
          <w:szCs w:val="28"/>
        </w:rPr>
      </w:pPr>
      <w:r w:rsidRPr="000854E3">
        <w:rPr>
          <w:rFonts w:ascii="Times New Roman" w:hAnsi="Times New Roman"/>
          <w:color w:val="auto"/>
          <w:szCs w:val="28"/>
        </w:rPr>
        <w:t xml:space="preserve">2. </w:t>
      </w:r>
      <w:proofErr w:type="gramStart"/>
      <w:r w:rsidRPr="000854E3">
        <w:rPr>
          <w:rFonts w:ascii="Times New Roman" w:hAnsi="Times New Roman"/>
          <w:color w:val="auto"/>
          <w:szCs w:val="28"/>
        </w:rPr>
        <w:t>Общ</w:t>
      </w:r>
      <w:r w:rsidR="00B574C4">
        <w:rPr>
          <w:rFonts w:ascii="Times New Roman" w:hAnsi="Times New Roman"/>
          <w:color w:val="auto"/>
          <w:szCs w:val="28"/>
        </w:rPr>
        <w:t>ее</w:t>
      </w:r>
      <w:r w:rsidRPr="000854E3">
        <w:rPr>
          <w:rFonts w:ascii="Times New Roman" w:hAnsi="Times New Roman"/>
          <w:color w:val="auto"/>
          <w:szCs w:val="28"/>
        </w:rPr>
        <w:t xml:space="preserve"> </w:t>
      </w:r>
      <w:r w:rsidR="00B574C4">
        <w:rPr>
          <w:rFonts w:ascii="Times New Roman" w:hAnsi="Times New Roman"/>
          <w:color w:val="auto"/>
          <w:szCs w:val="28"/>
        </w:rPr>
        <w:t>количество</w:t>
      </w:r>
      <w:r w:rsidRPr="000854E3">
        <w:rPr>
          <w:rFonts w:ascii="Times New Roman" w:hAnsi="Times New Roman"/>
          <w:color w:val="auto"/>
          <w:szCs w:val="28"/>
        </w:rPr>
        <w:t xml:space="preserve"> нарушений, выявленн</w:t>
      </w:r>
      <w:r w:rsidR="00B574C4">
        <w:rPr>
          <w:rFonts w:ascii="Times New Roman" w:hAnsi="Times New Roman"/>
          <w:color w:val="auto"/>
          <w:szCs w:val="28"/>
        </w:rPr>
        <w:t>ые</w:t>
      </w:r>
      <w:r w:rsidRPr="000854E3">
        <w:rPr>
          <w:rFonts w:ascii="Times New Roman" w:hAnsi="Times New Roman"/>
          <w:color w:val="auto"/>
          <w:szCs w:val="28"/>
        </w:rPr>
        <w:t xml:space="preserve"> в ходе </w:t>
      </w:r>
      <w:r w:rsidR="00B574C4" w:rsidRPr="00B574C4">
        <w:rPr>
          <w:rFonts w:ascii="Times New Roman" w:eastAsia="MS Mincho" w:hAnsi="Times New Roman"/>
          <w:szCs w:val="28"/>
        </w:rPr>
        <w:t xml:space="preserve">экспертно-аналитического </w:t>
      </w:r>
      <w:r w:rsidRPr="000854E3">
        <w:rPr>
          <w:rFonts w:ascii="Times New Roman" w:hAnsi="Times New Roman"/>
          <w:color w:val="auto"/>
          <w:szCs w:val="28"/>
        </w:rPr>
        <w:t>мероприятия</w:t>
      </w:r>
      <w:r w:rsidR="00B574C4">
        <w:rPr>
          <w:rFonts w:ascii="Times New Roman" w:hAnsi="Times New Roman"/>
          <w:color w:val="auto"/>
          <w:szCs w:val="28"/>
        </w:rPr>
        <w:t xml:space="preserve"> составило</w:t>
      </w:r>
      <w:r w:rsidRPr="000854E3">
        <w:rPr>
          <w:rFonts w:ascii="Times New Roman" w:hAnsi="Times New Roman"/>
          <w:color w:val="auto"/>
          <w:szCs w:val="28"/>
        </w:rPr>
        <w:t xml:space="preserve"> </w:t>
      </w:r>
      <w:r w:rsidR="00B574C4">
        <w:rPr>
          <w:rFonts w:ascii="Times New Roman" w:hAnsi="Times New Roman"/>
          <w:b/>
          <w:color w:val="auto"/>
          <w:szCs w:val="28"/>
        </w:rPr>
        <w:t xml:space="preserve">10 </w:t>
      </w:r>
      <w:r w:rsidRPr="00AF69E4">
        <w:rPr>
          <w:rFonts w:ascii="Times New Roman" w:hAnsi="Times New Roman"/>
          <w:b/>
          <w:color w:val="auto"/>
          <w:szCs w:val="28"/>
        </w:rPr>
        <w:t>нарушени</w:t>
      </w:r>
      <w:r w:rsidR="00B574C4">
        <w:rPr>
          <w:rFonts w:ascii="Times New Roman" w:hAnsi="Times New Roman"/>
          <w:b/>
          <w:color w:val="auto"/>
          <w:szCs w:val="28"/>
        </w:rPr>
        <w:t xml:space="preserve">й </w:t>
      </w:r>
      <w:r w:rsidRPr="00AF69E4">
        <w:rPr>
          <w:rFonts w:ascii="Times New Roman" w:hAnsi="Times New Roman"/>
          <w:b/>
          <w:color w:val="auto"/>
          <w:szCs w:val="28"/>
        </w:rPr>
        <w:t xml:space="preserve"> </w:t>
      </w:r>
      <w:r w:rsidRPr="000854E3">
        <w:rPr>
          <w:rFonts w:ascii="Times New Roman" w:hAnsi="Times New Roman"/>
          <w:color w:val="auto"/>
          <w:szCs w:val="28"/>
        </w:rPr>
        <w:t>в том числе:</w:t>
      </w:r>
      <w:proofErr w:type="gramEnd"/>
    </w:p>
    <w:p w:rsidR="00B574C4" w:rsidRPr="00B574C4" w:rsidRDefault="00B574C4" w:rsidP="00B574C4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>2.1. Нарушения по бюджетному законодательству (в том числе  целесообразности, эффективности, целевого использования средств бюджета, выделенных на содержание организации, полноты отражения расходов): нарушения отсутствуют.</w:t>
      </w:r>
    </w:p>
    <w:p w:rsidR="00B574C4" w:rsidRPr="00B574C4" w:rsidRDefault="00B574C4" w:rsidP="00B574C4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>2.2. Нарушения законодательства о бухгалтерском учете и (или)  требований по составлению бюджетной отчетности: нарушения отсутствуют.</w:t>
      </w:r>
    </w:p>
    <w:p w:rsidR="00B574C4" w:rsidRPr="00B574C4" w:rsidRDefault="00B574C4" w:rsidP="00B574C4">
      <w:pPr>
        <w:spacing w:after="0" w:line="240" w:lineRule="auto"/>
        <w:jc w:val="both"/>
        <w:rPr>
          <w:rFonts w:ascii="Times New Roman" w:hAnsi="Times New Roman"/>
          <w:color w:val="ED1C24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>2.3. Нарушения в учете и управлении муниципальным имуществом: нарушения отсутствуют.</w:t>
      </w:r>
    </w:p>
    <w:p w:rsidR="00B574C4" w:rsidRPr="00B574C4" w:rsidRDefault="00B574C4" w:rsidP="00B574C4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>2.4. Нарушения в сфере размещения заказов при осуществлении закупок товаров (выполнение работ, оказании услуг) для муниципальных нужд: нарушения отсутствуют.</w:t>
      </w:r>
    </w:p>
    <w:p w:rsidR="00B574C4" w:rsidRPr="00B574C4" w:rsidRDefault="00B574C4" w:rsidP="00B574C4">
      <w:pPr>
        <w:spacing w:after="0" w:line="240" w:lineRule="auto"/>
        <w:jc w:val="both"/>
        <w:rPr>
          <w:rFonts w:ascii="Times New Roman" w:hAnsi="Times New Roman"/>
          <w:color w:val="ED1C24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2.5. Нарушения по трудовому законодательству: нарушения отсутствуют. </w:t>
      </w:r>
    </w:p>
    <w:p w:rsidR="00B574C4" w:rsidRPr="00B574C4" w:rsidRDefault="00B574C4" w:rsidP="00B574C4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2.6. Прочие нарушения:  </w:t>
      </w:r>
      <w:r w:rsidRPr="00B574C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по 10 нарушениям.</w:t>
      </w:r>
    </w:p>
    <w:p w:rsidR="00B574C4" w:rsidRPr="00B574C4" w:rsidRDefault="00B574C4" w:rsidP="00B574C4">
      <w:pPr>
        <w:tabs>
          <w:tab w:val="left" w:pos="1983"/>
        </w:tabs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lastRenderedPageBreak/>
        <w:t>3. Процент нарушений выявленных в ходе контрольного мероприятия от общей суммы проверенных бюджетных средств составил</w:t>
      </w:r>
      <w:r w:rsidRPr="00B574C4">
        <w:rPr>
          <w:rFonts w:ascii="Times New Roman" w:eastAsia="MS Mincho" w:hAnsi="Times New Roman" w:cs="Times New Roman"/>
          <w:b/>
          <w:sz w:val="28"/>
          <w:szCs w:val="28"/>
          <w:lang w:eastAsia="en-US"/>
        </w:rPr>
        <w:t>: 0%.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8664C9" w:rsidRPr="00B574C4" w:rsidRDefault="008664C9" w:rsidP="00B574C4">
      <w:pPr>
        <w:pStyle w:val="a6"/>
        <w:jc w:val="center"/>
        <w:rPr>
          <w:rFonts w:ascii="Times New Roman" w:hAnsi="Times New Roman"/>
          <w:b/>
          <w:color w:val="auto"/>
          <w:szCs w:val="28"/>
          <w:u w:val="single"/>
        </w:rPr>
      </w:pPr>
      <w:r w:rsidRPr="00B574C4">
        <w:rPr>
          <w:rFonts w:ascii="Times New Roman" w:hAnsi="Times New Roman"/>
          <w:b/>
          <w:color w:val="auto"/>
          <w:szCs w:val="28"/>
          <w:u w:val="single"/>
        </w:rPr>
        <w:t>Предложения (рекомендации):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bookmarkStart w:id="0" w:name="_GoBack"/>
      <w:bookmarkEnd w:id="0"/>
      <w:r w:rsidRPr="00B574C4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Рассмотреть отчет и принять организационные и другие меры по обеспечению надлежащего </w:t>
      </w:r>
      <w:proofErr w:type="gramStart"/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B574C4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устранением нарушений, выявленных в ходе проверки.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B574C4">
        <w:rPr>
          <w:rFonts w:ascii="Times New Roman" w:hAnsi="Times New Roman"/>
          <w:sz w:val="28"/>
          <w:szCs w:val="28"/>
          <w:lang w:eastAsia="en-US"/>
        </w:rPr>
        <w:t>2. Проекты муниципальных программ согласовывать с КСП.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B574C4">
        <w:rPr>
          <w:rFonts w:ascii="Times New Roman" w:hAnsi="Times New Roman"/>
          <w:sz w:val="28"/>
          <w:szCs w:val="28"/>
          <w:lang w:eastAsia="en-US"/>
        </w:rPr>
        <w:t>3. В финансово-экономическое обоснование программы включать расчет необходимых на реализацию средств.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B574C4">
        <w:rPr>
          <w:rFonts w:ascii="Times New Roman" w:hAnsi="Times New Roman"/>
          <w:sz w:val="28"/>
          <w:szCs w:val="28"/>
          <w:lang w:eastAsia="en-US"/>
        </w:rPr>
        <w:t>4. О</w:t>
      </w:r>
      <w:r w:rsidRPr="00B574C4">
        <w:rPr>
          <w:rFonts w:ascii="Times New Roman" w:eastAsia="MS Mincho" w:hAnsi="Times New Roman" w:cs="Times New Roman"/>
          <w:sz w:val="28"/>
          <w:szCs w:val="28"/>
          <w:highlight w:val="white"/>
          <w:lang w:eastAsia="en-US"/>
        </w:rPr>
        <w:t xml:space="preserve">тветственным исполнителям размещать проект муниципальной программы, утвержденную муниципальную программу, а так же </w:t>
      </w:r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годовой отчет </w:t>
      </w:r>
      <w:r w:rsidRPr="00B574C4">
        <w:rPr>
          <w:rFonts w:ascii="Times New Roman" w:eastAsia="MS Mincho" w:hAnsi="Times New Roman" w:cs="Times New Roman"/>
          <w:sz w:val="28"/>
          <w:szCs w:val="28"/>
          <w:highlight w:val="white"/>
          <w:lang w:eastAsia="en-US"/>
        </w:rPr>
        <w:t>на официальном сайте в сети Интернет.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B574C4">
        <w:rPr>
          <w:rFonts w:ascii="Times New Roman" w:hAnsi="Times New Roman"/>
          <w:sz w:val="28"/>
          <w:szCs w:val="28"/>
          <w:lang w:eastAsia="en-US"/>
        </w:rPr>
        <w:t xml:space="preserve">5. </w:t>
      </w:r>
      <w:proofErr w:type="gramStart"/>
      <w:r w:rsidRPr="00B574C4">
        <w:rPr>
          <w:rFonts w:ascii="Times New Roman" w:hAnsi="Times New Roman"/>
          <w:sz w:val="28"/>
          <w:szCs w:val="28"/>
          <w:lang w:eastAsia="en-US"/>
        </w:rPr>
        <w:t xml:space="preserve">Пересмотреть порядок предоставления гражданам, нуждающимся в служебном жилом помещении услуги, предусмотренной Положением в части вынесения решения о принятии (снятии) гражданина на учет (с учета) в качестве </w:t>
      </w:r>
      <w:bookmarkStart w:id="1" w:name="__DdeLink__12156_29061101551"/>
      <w:r w:rsidRPr="00B574C4">
        <w:rPr>
          <w:rFonts w:ascii="Times New Roman" w:hAnsi="Times New Roman"/>
          <w:sz w:val="28"/>
          <w:szCs w:val="28"/>
          <w:lang w:eastAsia="en-US"/>
        </w:rPr>
        <w:t>нуждающегося в служебном жилом помещении</w:t>
      </w:r>
      <w:bookmarkEnd w:id="1"/>
      <w:r w:rsidRPr="00B574C4">
        <w:rPr>
          <w:rFonts w:ascii="Times New Roman" w:hAnsi="Times New Roman"/>
          <w:sz w:val="28"/>
          <w:szCs w:val="28"/>
          <w:lang w:eastAsia="en-US"/>
        </w:rPr>
        <w:t>, либо об отказе в принятии на учет, в том числе, регистрацию заявлений в Книге регистрации заявлений граждан, которая является основанием для начала административной процедуры.</w:t>
      </w:r>
      <w:proofErr w:type="gramEnd"/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6. Годовой отчет ответственным исполнителем заполнять в соответствии с перечнем программных мероприятий, а так же согласно Порядку №337.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lang w:eastAsia="en-US"/>
        </w:rPr>
      </w:pPr>
      <w:r w:rsidRPr="00B574C4">
        <w:rPr>
          <w:rFonts w:ascii="Times New Roman" w:hAnsi="Times New Roman"/>
          <w:sz w:val="28"/>
          <w:szCs w:val="28"/>
          <w:lang w:eastAsia="en-US"/>
        </w:rPr>
        <w:t xml:space="preserve">7. Рассмотреть вопрос о </w:t>
      </w:r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ежеквартальных сводных отчетах для принятия решений в отношении программ со сроком действия более одного года.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8. В  срок до 17.09.2019 года направить представление по итогам проверки Контрольно-счётной палаты </w:t>
      </w:r>
      <w:proofErr w:type="spellStart"/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Варненского</w:t>
      </w:r>
      <w:proofErr w:type="spellEnd"/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муниципального района Челябинской области в </w:t>
      </w:r>
      <w:r w:rsidRPr="00B574C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Администрацию </w:t>
      </w:r>
      <w:proofErr w:type="spellStart"/>
      <w:r w:rsidRPr="00B574C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Варненского</w:t>
      </w:r>
      <w:proofErr w:type="spellEnd"/>
      <w:r w:rsidRPr="00B574C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муниципального района Челябинской области</w:t>
      </w:r>
      <w:r w:rsidRPr="00B574C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en-US"/>
        </w:rPr>
        <w:t xml:space="preserve"> </w:t>
      </w:r>
      <w:r w:rsidRPr="00B574C4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(комитет экономики) </w:t>
      </w:r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для рассмотрения и принятия мер.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B574C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9. Направить отчет о результатах экспертно-аналитического мероприятия: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ED1C24"/>
          <w:sz w:val="28"/>
          <w:lang w:eastAsia="en-US"/>
        </w:rPr>
      </w:pPr>
      <w:r w:rsidRPr="00B574C4">
        <w:rPr>
          <w:rFonts w:ascii="Times New Roman" w:hAnsi="Times New Roman"/>
          <w:sz w:val="28"/>
          <w:szCs w:val="28"/>
          <w:lang w:eastAsia="en-US"/>
        </w:rPr>
        <w:t xml:space="preserve">- главе </w:t>
      </w:r>
      <w:proofErr w:type="spellStart"/>
      <w:r w:rsidRPr="00B574C4">
        <w:rPr>
          <w:rFonts w:ascii="Times New Roman" w:hAnsi="Times New Roman"/>
          <w:sz w:val="28"/>
          <w:szCs w:val="28"/>
          <w:lang w:eastAsia="en-US"/>
        </w:rPr>
        <w:t>Варненского</w:t>
      </w:r>
      <w:proofErr w:type="spellEnd"/>
      <w:r w:rsidRPr="00B574C4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Челябинской области;</w:t>
      </w:r>
    </w:p>
    <w:p w:rsidR="00B574C4" w:rsidRPr="00B574C4" w:rsidRDefault="00B574C4" w:rsidP="00B574C4">
      <w:pPr>
        <w:spacing w:after="0" w:line="240" w:lineRule="auto"/>
        <w:ind w:firstLine="709"/>
        <w:jc w:val="both"/>
        <w:rPr>
          <w:rFonts w:ascii="Times New Roman" w:hAnsi="Times New Roman"/>
          <w:color w:val="ED1C24"/>
          <w:sz w:val="28"/>
          <w:lang w:eastAsia="en-US"/>
        </w:rPr>
      </w:pPr>
      <w:r w:rsidRPr="00B574C4">
        <w:rPr>
          <w:rFonts w:ascii="Times New Roman" w:eastAsia="MS Mincho" w:hAnsi="Times New Roman" w:cs="Times New Roman"/>
          <w:sz w:val="28"/>
          <w:szCs w:val="28"/>
          <w:highlight w:val="white"/>
          <w:lang w:eastAsia="en-US"/>
        </w:rPr>
        <w:t xml:space="preserve">- в Собрание депутатов </w:t>
      </w:r>
      <w:proofErr w:type="spellStart"/>
      <w:r w:rsidRPr="00B574C4">
        <w:rPr>
          <w:rFonts w:ascii="Times New Roman" w:eastAsia="MS Mincho" w:hAnsi="Times New Roman" w:cs="Times New Roman"/>
          <w:sz w:val="28"/>
          <w:szCs w:val="28"/>
          <w:highlight w:val="white"/>
          <w:lang w:eastAsia="en-US"/>
        </w:rPr>
        <w:t>Варненского</w:t>
      </w:r>
      <w:proofErr w:type="spellEnd"/>
      <w:r w:rsidRPr="00B574C4">
        <w:rPr>
          <w:rFonts w:ascii="Times New Roman" w:eastAsia="MS Mincho" w:hAnsi="Times New Roman" w:cs="Times New Roman"/>
          <w:sz w:val="28"/>
          <w:szCs w:val="28"/>
          <w:highlight w:val="white"/>
          <w:lang w:eastAsia="en-US"/>
        </w:rPr>
        <w:t xml:space="preserve"> муниципального района   Челябинской области. </w:t>
      </w:r>
    </w:p>
    <w:p w:rsidR="008664C9" w:rsidRPr="000854E3" w:rsidRDefault="008664C9" w:rsidP="008664C9">
      <w:pPr>
        <w:pStyle w:val="a6"/>
        <w:ind w:left="360" w:hanging="360"/>
        <w:jc w:val="both"/>
        <w:rPr>
          <w:rFonts w:ascii="Times New Roman" w:hAnsi="Times New Roman"/>
          <w:color w:val="auto"/>
          <w:szCs w:val="28"/>
        </w:rPr>
      </w:pPr>
    </w:p>
    <w:p w:rsidR="008664C9" w:rsidRPr="000854E3" w:rsidRDefault="008664C9" w:rsidP="008664C9">
      <w:pPr>
        <w:pStyle w:val="a6"/>
        <w:jc w:val="both"/>
        <w:rPr>
          <w:rFonts w:ascii="Times New Roman" w:hAnsi="Times New Roman"/>
          <w:color w:val="auto"/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B163D"/>
    <w:multiLevelType w:val="multilevel"/>
    <w:tmpl w:val="92BA94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655F"/>
    <w:multiLevelType w:val="multilevel"/>
    <w:tmpl w:val="67664D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12169"/>
    <w:rsid w:val="001853C2"/>
    <w:rsid w:val="00190CDD"/>
    <w:rsid w:val="001A116D"/>
    <w:rsid w:val="001A582D"/>
    <w:rsid w:val="001F4B46"/>
    <w:rsid w:val="00207F5B"/>
    <w:rsid w:val="00213F73"/>
    <w:rsid w:val="002F4F4A"/>
    <w:rsid w:val="003121C4"/>
    <w:rsid w:val="00323D51"/>
    <w:rsid w:val="00382A50"/>
    <w:rsid w:val="003A2883"/>
    <w:rsid w:val="003A6E82"/>
    <w:rsid w:val="003C0D45"/>
    <w:rsid w:val="003D4CD5"/>
    <w:rsid w:val="004515D5"/>
    <w:rsid w:val="004B4E24"/>
    <w:rsid w:val="004C0DFC"/>
    <w:rsid w:val="004D57FC"/>
    <w:rsid w:val="004E3BA7"/>
    <w:rsid w:val="004F76F3"/>
    <w:rsid w:val="00544239"/>
    <w:rsid w:val="00560C6B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664C9"/>
    <w:rsid w:val="0088259E"/>
    <w:rsid w:val="00885E5E"/>
    <w:rsid w:val="00894A97"/>
    <w:rsid w:val="008C58F5"/>
    <w:rsid w:val="008D4B09"/>
    <w:rsid w:val="008F1F00"/>
    <w:rsid w:val="008F23CF"/>
    <w:rsid w:val="009002C5"/>
    <w:rsid w:val="00917323"/>
    <w:rsid w:val="00926903"/>
    <w:rsid w:val="00991812"/>
    <w:rsid w:val="00994862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574C4"/>
    <w:rsid w:val="00BD3312"/>
    <w:rsid w:val="00BE1107"/>
    <w:rsid w:val="00BF628D"/>
    <w:rsid w:val="00C33E4B"/>
    <w:rsid w:val="00C8480F"/>
    <w:rsid w:val="00CB2910"/>
    <w:rsid w:val="00CB41F2"/>
    <w:rsid w:val="00D21B72"/>
    <w:rsid w:val="00D34336"/>
    <w:rsid w:val="00D53578"/>
    <w:rsid w:val="00D81F45"/>
    <w:rsid w:val="00DD4264"/>
    <w:rsid w:val="00DF70BF"/>
    <w:rsid w:val="00E01DF0"/>
    <w:rsid w:val="00E03759"/>
    <w:rsid w:val="00E14897"/>
    <w:rsid w:val="00E72DF6"/>
    <w:rsid w:val="00EB7C24"/>
    <w:rsid w:val="00EC523F"/>
    <w:rsid w:val="00EE0CE4"/>
    <w:rsid w:val="00F0055E"/>
    <w:rsid w:val="00F5263C"/>
    <w:rsid w:val="00FD206C"/>
    <w:rsid w:val="00FE5412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qFormat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  <w:style w:type="paragraph" w:styleId="a6">
    <w:name w:val="No Spacing"/>
    <w:qFormat/>
    <w:rsid w:val="00560C6B"/>
    <w:pPr>
      <w:spacing w:after="0" w:line="240" w:lineRule="auto"/>
    </w:pPr>
    <w:rPr>
      <w:rFonts w:ascii="Calibri" w:eastAsia="Times New Roman" w:hAnsi="Calibri" w:cs="Times New Roman"/>
      <w:color w:val="00000A"/>
      <w:sz w:val="28"/>
      <w:lang w:eastAsia="en-US"/>
    </w:rPr>
  </w:style>
  <w:style w:type="character" w:customStyle="1" w:styleId="1">
    <w:name w:val="Заголовок 1 Знак"/>
    <w:basedOn w:val="a0"/>
    <w:link w:val="1"/>
    <w:qFormat/>
    <w:rsid w:val="004D57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2 Знак"/>
    <w:basedOn w:val="a0"/>
    <w:qFormat/>
    <w:rsid w:val="004D57F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qFormat/>
    <w:rsid w:val="002F4F4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8664C9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2</cp:revision>
  <dcterms:created xsi:type="dcterms:W3CDTF">2019-10-31T07:56:00Z</dcterms:created>
  <dcterms:modified xsi:type="dcterms:W3CDTF">2019-10-31T07:56:00Z</dcterms:modified>
</cp:coreProperties>
</file>